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BEAA" w14:textId="77777777" w:rsidR="0068524B" w:rsidRDefault="0068524B" w:rsidP="00131CB1">
      <w:pPr>
        <w:rPr>
          <w:rFonts w:ascii="Arial" w:hAnsi="Arial"/>
          <w:b/>
          <w:color w:val="008080"/>
          <w:sz w:val="32"/>
        </w:rPr>
      </w:pPr>
    </w:p>
    <w:p w14:paraId="461175DD" w14:textId="77777777" w:rsidR="00D33FFE" w:rsidRDefault="00D33FFE" w:rsidP="00131CB1">
      <w:pPr>
        <w:rPr>
          <w:rFonts w:ascii="Arial" w:hAnsi="Arial"/>
          <w:b/>
          <w:color w:val="008080"/>
          <w:sz w:val="32"/>
        </w:rPr>
      </w:pPr>
    </w:p>
    <w:p w14:paraId="01BB7A81" w14:textId="77777777" w:rsidR="00D33FFE" w:rsidRDefault="00D33FFE" w:rsidP="00131CB1">
      <w:pPr>
        <w:rPr>
          <w:rFonts w:ascii="Arial" w:hAnsi="Arial"/>
          <w:b/>
          <w:color w:val="008080"/>
          <w:sz w:val="32"/>
        </w:rPr>
      </w:pPr>
    </w:p>
    <w:p w14:paraId="03793E8A" w14:textId="77777777" w:rsidR="00D33FFE" w:rsidRDefault="00D33FFE" w:rsidP="00131CB1">
      <w:pPr>
        <w:rPr>
          <w:rFonts w:ascii="Arial" w:hAnsi="Arial"/>
          <w:b/>
          <w:color w:val="008080"/>
          <w:sz w:val="32"/>
        </w:rPr>
      </w:pPr>
    </w:p>
    <w:p w14:paraId="6B9926B6" w14:textId="77777777" w:rsidR="00D33FFE" w:rsidRDefault="00D33FFE" w:rsidP="00131CB1">
      <w:pPr>
        <w:rPr>
          <w:rFonts w:ascii="Arial" w:hAnsi="Arial"/>
          <w:b/>
          <w:color w:val="008080"/>
          <w:sz w:val="32"/>
        </w:rPr>
      </w:pPr>
    </w:p>
    <w:p w14:paraId="54C27521" w14:textId="77777777" w:rsidR="00D33FFE" w:rsidRDefault="00D33FFE" w:rsidP="00131CB1">
      <w:pPr>
        <w:rPr>
          <w:rFonts w:ascii="Arial" w:hAnsi="Arial"/>
          <w:b/>
          <w:color w:val="008080"/>
          <w:sz w:val="32"/>
        </w:rPr>
      </w:pPr>
    </w:p>
    <w:p w14:paraId="621145C1" w14:textId="77777777" w:rsidR="001E3E50" w:rsidRDefault="001E3E50" w:rsidP="00131CB1">
      <w:pPr>
        <w:rPr>
          <w:rFonts w:ascii="Arial" w:hAnsi="Arial"/>
          <w:b/>
          <w:color w:val="008080"/>
          <w:sz w:val="32"/>
        </w:rPr>
      </w:pPr>
    </w:p>
    <w:p w14:paraId="6B4C5012" w14:textId="784CE237" w:rsidR="001E3E50" w:rsidRDefault="001E3E50" w:rsidP="00131CB1">
      <w:pPr>
        <w:rPr>
          <w:rFonts w:ascii="Arial" w:hAnsi="Arial"/>
          <w:b/>
          <w:color w:val="008080"/>
          <w:sz w:val="32"/>
        </w:rPr>
      </w:pPr>
      <w:r>
        <w:rPr>
          <w:noProof/>
          <w14:ligatures w14:val="standardContextual"/>
        </w:rPr>
        <w:drawing>
          <wp:anchor distT="0" distB="0" distL="114300" distR="114300" simplePos="0" relativeHeight="251661312" behindDoc="1" locked="0" layoutInCell="1" allowOverlap="1" wp14:anchorId="53328CBE" wp14:editId="388F4321">
            <wp:simplePos x="0" y="0"/>
            <wp:positionH relativeFrom="margin">
              <wp:align>center</wp:align>
            </wp:positionH>
            <wp:positionV relativeFrom="paragraph">
              <wp:posOffset>6985</wp:posOffset>
            </wp:positionV>
            <wp:extent cx="4690364" cy="1177963"/>
            <wp:effectExtent l="0" t="0" r="0" b="3175"/>
            <wp:wrapTight wrapText="bothSides">
              <wp:wrapPolygon edited="0">
                <wp:start x="0" y="0"/>
                <wp:lineTo x="0" y="21309"/>
                <wp:lineTo x="21495" y="21309"/>
                <wp:lineTo x="21495" y="0"/>
                <wp:lineTo x="0" y="0"/>
              </wp:wrapPolygon>
            </wp:wrapTight>
            <wp:docPr id="3" name="Picture 2">
              <a:extLst xmlns:a="http://schemas.openxmlformats.org/drawingml/2006/main">
                <a:ext uri="{FF2B5EF4-FFF2-40B4-BE49-F238E27FC236}">
                  <a16:creationId xmlns:a16="http://schemas.microsoft.com/office/drawing/2014/main" id="{677FFD10-539D-7A16-69A3-CA5133844A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77FFD10-539D-7A16-69A3-CA5133844AB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90364" cy="1177963"/>
                    </a:xfrm>
                    <a:prstGeom prst="rect">
                      <a:avLst/>
                    </a:prstGeom>
                  </pic:spPr>
                </pic:pic>
              </a:graphicData>
            </a:graphic>
          </wp:anchor>
        </w:drawing>
      </w:r>
    </w:p>
    <w:p w14:paraId="09CDEA27" w14:textId="77777777" w:rsidR="001E3E50" w:rsidRDefault="001E3E50" w:rsidP="00131CB1">
      <w:pPr>
        <w:rPr>
          <w:rFonts w:ascii="Arial" w:hAnsi="Arial"/>
          <w:b/>
          <w:color w:val="008080"/>
          <w:sz w:val="32"/>
        </w:rPr>
      </w:pPr>
    </w:p>
    <w:p w14:paraId="7E8B74C7" w14:textId="3C42691A" w:rsidR="001E3E50" w:rsidRDefault="001E3E50" w:rsidP="00131CB1">
      <w:pPr>
        <w:rPr>
          <w:rFonts w:ascii="Arial" w:hAnsi="Arial"/>
          <w:b/>
          <w:color w:val="008080"/>
          <w:sz w:val="32"/>
        </w:rPr>
      </w:pPr>
    </w:p>
    <w:p w14:paraId="2DA0BE7A" w14:textId="3596E145" w:rsidR="001E3E50" w:rsidRDefault="001E3E50" w:rsidP="00131CB1">
      <w:pPr>
        <w:rPr>
          <w:rFonts w:ascii="Arial" w:hAnsi="Arial"/>
          <w:b/>
          <w:color w:val="008080"/>
          <w:sz w:val="32"/>
        </w:rPr>
      </w:pPr>
    </w:p>
    <w:p w14:paraId="001B8CEE" w14:textId="77777777" w:rsidR="00D33FFE" w:rsidRDefault="00D33FFE" w:rsidP="00131CB1">
      <w:pPr>
        <w:rPr>
          <w:rFonts w:ascii="Arial" w:hAnsi="Arial"/>
          <w:b/>
          <w:color w:val="008080"/>
          <w:sz w:val="32"/>
        </w:rPr>
      </w:pPr>
    </w:p>
    <w:p w14:paraId="075FD6F4" w14:textId="77777777" w:rsidR="00D33FFE" w:rsidRDefault="00D33FFE" w:rsidP="00131CB1">
      <w:pPr>
        <w:rPr>
          <w:rFonts w:ascii="Arial" w:hAnsi="Arial"/>
          <w:b/>
          <w:color w:val="008080"/>
          <w:sz w:val="32"/>
        </w:rPr>
      </w:pPr>
    </w:p>
    <w:p w14:paraId="0276FD20" w14:textId="77777777" w:rsidR="00D33FFE" w:rsidRDefault="00D33FFE" w:rsidP="00131CB1">
      <w:pPr>
        <w:rPr>
          <w:rFonts w:ascii="Arial" w:hAnsi="Arial"/>
          <w:b/>
          <w:color w:val="008080"/>
          <w:sz w:val="32"/>
        </w:rPr>
      </w:pPr>
    </w:p>
    <w:p w14:paraId="3F482F87" w14:textId="77777777" w:rsidR="001E3E50" w:rsidRDefault="001E3E50" w:rsidP="00131CB1">
      <w:pPr>
        <w:rPr>
          <w:rFonts w:ascii="Arial" w:hAnsi="Arial"/>
          <w:b/>
          <w:color w:val="008080"/>
          <w:sz w:val="32"/>
        </w:rPr>
      </w:pPr>
    </w:p>
    <w:p w14:paraId="6B820FA6" w14:textId="77777777" w:rsidR="001E3E50" w:rsidRDefault="001E3E50" w:rsidP="00131CB1">
      <w:pPr>
        <w:rPr>
          <w:rFonts w:ascii="Arial" w:hAnsi="Arial"/>
          <w:b/>
          <w:color w:val="008080"/>
          <w:sz w:val="32"/>
        </w:rPr>
      </w:pPr>
    </w:p>
    <w:p w14:paraId="34E38487" w14:textId="77777777" w:rsidR="001E3E50" w:rsidRDefault="001E3E50" w:rsidP="00131CB1">
      <w:pPr>
        <w:rPr>
          <w:rFonts w:ascii="Arial" w:hAnsi="Arial"/>
          <w:b/>
          <w:color w:val="008080"/>
          <w:sz w:val="32"/>
        </w:rPr>
      </w:pPr>
    </w:p>
    <w:p w14:paraId="72B314AA" w14:textId="4B2FE5F2" w:rsidR="00F04AA3" w:rsidRDefault="00F04AA3" w:rsidP="00DE5B88">
      <w:pPr>
        <w:pStyle w:val="DefaultText"/>
        <w:pBdr>
          <w:top w:val="single" w:sz="4" w:space="1" w:color="auto"/>
          <w:left w:val="single" w:sz="4" w:space="31" w:color="auto"/>
          <w:bottom w:val="single" w:sz="4" w:space="1" w:color="auto"/>
          <w:right w:val="single" w:sz="4" w:space="4" w:color="auto"/>
        </w:pBdr>
        <w:ind w:left="1620" w:hanging="900"/>
        <w:jc w:val="center"/>
        <w:rPr>
          <w:rFonts w:ascii="Arial" w:hAnsi="Arial"/>
          <w:b/>
          <w:sz w:val="40"/>
        </w:rPr>
      </w:pPr>
      <w:r>
        <w:rPr>
          <w:rFonts w:ascii="Arial" w:hAnsi="Arial"/>
          <w:b/>
          <w:sz w:val="40"/>
        </w:rPr>
        <w:t>Contracting Strategy Procedure</w:t>
      </w:r>
    </w:p>
    <w:p w14:paraId="0639737F" w14:textId="77777777" w:rsidR="00A46BA5" w:rsidRDefault="00A46BA5" w:rsidP="00A46BA5">
      <w:pPr>
        <w:pStyle w:val="BodyText3"/>
        <w:jc w:val="left"/>
      </w:pPr>
    </w:p>
    <w:p w14:paraId="3460553C" w14:textId="77777777" w:rsidR="00D33FFE" w:rsidRDefault="00D33FFE" w:rsidP="004377AE">
      <w:pPr>
        <w:pStyle w:val="DefaultText"/>
        <w:jc w:val="center"/>
        <w:rPr>
          <w:rFonts w:ascii="Arial" w:hAnsi="Arial"/>
          <w:b/>
          <w:szCs w:val="24"/>
          <w:highlight w:val="cyan"/>
        </w:rPr>
      </w:pPr>
    </w:p>
    <w:p w14:paraId="7F8EC4D6" w14:textId="4962E13C" w:rsidR="00D33FFE" w:rsidRPr="00D33FFE" w:rsidRDefault="00E74A7A" w:rsidP="004F415C">
      <w:pPr>
        <w:pStyle w:val="DefaultText"/>
        <w:jc w:val="center"/>
        <w:rPr>
          <w:rFonts w:ascii="Arial" w:hAnsi="Arial"/>
          <w:b/>
          <w:szCs w:val="24"/>
        </w:rPr>
      </w:pPr>
      <w:r w:rsidRPr="00E74A7A">
        <w:rPr>
          <w:rFonts w:ascii="Arial" w:hAnsi="Arial"/>
          <w:b/>
          <w:szCs w:val="24"/>
        </w:rPr>
        <w:t>Client Advisory</w:t>
      </w:r>
    </w:p>
    <w:p w14:paraId="75D95B89" w14:textId="77777777" w:rsidR="00D33FFE" w:rsidRDefault="00D33FFE" w:rsidP="000E2EB6">
      <w:pPr>
        <w:rPr>
          <w:rFonts w:ascii="Arial" w:hAnsi="Arial"/>
          <w:b/>
          <w:sz w:val="24"/>
        </w:rPr>
      </w:pPr>
    </w:p>
    <w:p w14:paraId="54DD04A8" w14:textId="77777777" w:rsidR="00D33FFE" w:rsidRDefault="00D33FFE" w:rsidP="000E2EB6">
      <w:pPr>
        <w:rPr>
          <w:rFonts w:ascii="Arial" w:hAnsi="Arial"/>
          <w:b/>
          <w:sz w:val="24"/>
        </w:rPr>
      </w:pPr>
    </w:p>
    <w:p w14:paraId="64EBBF5D" w14:textId="77777777" w:rsidR="00D33FFE" w:rsidRDefault="00D33FFE" w:rsidP="000E2EB6">
      <w:pPr>
        <w:rPr>
          <w:rFonts w:ascii="Arial" w:hAnsi="Arial"/>
          <w:b/>
          <w:sz w:val="24"/>
        </w:rPr>
      </w:pPr>
    </w:p>
    <w:p w14:paraId="3CAE6FCD" w14:textId="77777777" w:rsidR="00D33FFE" w:rsidRDefault="00D33FFE" w:rsidP="000E2EB6">
      <w:pPr>
        <w:rPr>
          <w:rFonts w:ascii="Arial" w:hAnsi="Arial"/>
          <w:b/>
          <w:sz w:val="24"/>
        </w:rPr>
      </w:pPr>
    </w:p>
    <w:p w14:paraId="2C7BC286" w14:textId="77777777" w:rsidR="00D33FFE" w:rsidRDefault="00D33FFE" w:rsidP="000E2EB6">
      <w:pPr>
        <w:rPr>
          <w:rFonts w:ascii="Arial" w:hAnsi="Arial"/>
          <w:b/>
          <w:sz w:val="24"/>
        </w:rPr>
      </w:pPr>
    </w:p>
    <w:p w14:paraId="6226EF9E" w14:textId="77777777" w:rsidR="00D33FFE" w:rsidRDefault="00D33FFE" w:rsidP="000E2EB6">
      <w:pPr>
        <w:rPr>
          <w:rFonts w:ascii="Arial" w:hAnsi="Arial"/>
          <w:b/>
          <w:sz w:val="24"/>
        </w:rPr>
      </w:pPr>
    </w:p>
    <w:p w14:paraId="0549B23D" w14:textId="77777777" w:rsidR="00D33FFE" w:rsidRDefault="00D33FFE" w:rsidP="000E2EB6">
      <w:pPr>
        <w:rPr>
          <w:rFonts w:ascii="Arial" w:hAnsi="Arial"/>
          <w:b/>
          <w:sz w:val="24"/>
        </w:rPr>
      </w:pPr>
    </w:p>
    <w:p w14:paraId="0D8CF8A8" w14:textId="77777777" w:rsidR="00D33FFE" w:rsidRDefault="00D33FFE" w:rsidP="000E2EB6">
      <w:pPr>
        <w:rPr>
          <w:rFonts w:ascii="Arial" w:hAnsi="Arial"/>
          <w:b/>
          <w:sz w:val="24"/>
        </w:rPr>
      </w:pPr>
    </w:p>
    <w:p w14:paraId="57A9D0B9" w14:textId="77777777" w:rsidR="00D33FFE" w:rsidRDefault="00D33FFE" w:rsidP="000E2EB6">
      <w:pPr>
        <w:rPr>
          <w:rFonts w:ascii="Arial" w:hAnsi="Arial"/>
          <w:b/>
          <w:sz w:val="24"/>
        </w:rPr>
      </w:pPr>
    </w:p>
    <w:p w14:paraId="62DB4583" w14:textId="77777777" w:rsidR="00D33FFE" w:rsidRDefault="00D33FFE" w:rsidP="000E2EB6">
      <w:pPr>
        <w:rPr>
          <w:rFonts w:ascii="Arial" w:hAnsi="Arial"/>
          <w:b/>
          <w:sz w:val="24"/>
        </w:rPr>
      </w:pPr>
    </w:p>
    <w:p w14:paraId="43D5E32B" w14:textId="77777777" w:rsidR="00D33FFE" w:rsidRDefault="00D33FFE" w:rsidP="000E2EB6">
      <w:pPr>
        <w:rPr>
          <w:rFonts w:ascii="Arial" w:hAnsi="Arial"/>
          <w:b/>
          <w:sz w:val="24"/>
        </w:rPr>
      </w:pPr>
    </w:p>
    <w:p w14:paraId="549593E3" w14:textId="77777777" w:rsidR="00D33FFE" w:rsidRDefault="00D33FFE" w:rsidP="000E2EB6">
      <w:pPr>
        <w:rPr>
          <w:rFonts w:ascii="Arial" w:hAnsi="Arial"/>
          <w:b/>
          <w:sz w:val="24"/>
        </w:rPr>
      </w:pPr>
    </w:p>
    <w:p w14:paraId="744F8FE7" w14:textId="77777777" w:rsidR="00D33FFE" w:rsidRDefault="00D33FFE" w:rsidP="000E2EB6">
      <w:pPr>
        <w:rPr>
          <w:rFonts w:ascii="Arial" w:hAnsi="Arial"/>
          <w:b/>
          <w:sz w:val="24"/>
        </w:rPr>
      </w:pPr>
    </w:p>
    <w:p w14:paraId="49780B11" w14:textId="77777777" w:rsidR="00D33FFE" w:rsidRDefault="00D33FFE" w:rsidP="000E2EB6">
      <w:pPr>
        <w:rPr>
          <w:rFonts w:ascii="Arial" w:hAnsi="Arial"/>
          <w:b/>
          <w:sz w:val="24"/>
        </w:rPr>
      </w:pPr>
    </w:p>
    <w:p w14:paraId="3AED15DD" w14:textId="77777777" w:rsidR="00D33FFE" w:rsidRDefault="00D33FFE" w:rsidP="000E2EB6">
      <w:pPr>
        <w:rPr>
          <w:rFonts w:ascii="Arial" w:hAnsi="Arial"/>
          <w:b/>
          <w:sz w:val="24"/>
        </w:rPr>
      </w:pPr>
    </w:p>
    <w:p w14:paraId="0BC83493" w14:textId="77777777" w:rsidR="00D33FFE" w:rsidRDefault="00D33FFE" w:rsidP="000E2EB6">
      <w:pPr>
        <w:rPr>
          <w:rFonts w:ascii="Arial" w:hAnsi="Arial"/>
          <w:b/>
          <w:sz w:val="24"/>
        </w:rPr>
      </w:pPr>
    </w:p>
    <w:p w14:paraId="44149B77" w14:textId="77777777" w:rsidR="00856BC7" w:rsidRDefault="00856BC7" w:rsidP="000E2EB6">
      <w:pPr>
        <w:rPr>
          <w:rFonts w:ascii="Arial" w:hAnsi="Arial"/>
          <w:b/>
          <w:sz w:val="24"/>
        </w:rPr>
      </w:pPr>
    </w:p>
    <w:p w14:paraId="3075A397" w14:textId="77777777" w:rsidR="004F415C" w:rsidRDefault="004F415C" w:rsidP="000E2EB6">
      <w:pPr>
        <w:rPr>
          <w:rFonts w:ascii="Arial" w:hAnsi="Arial"/>
          <w:b/>
          <w:sz w:val="24"/>
        </w:rPr>
      </w:pPr>
    </w:p>
    <w:p w14:paraId="3DCF4BDB" w14:textId="77777777" w:rsidR="004F415C" w:rsidRDefault="004F415C" w:rsidP="000E2EB6">
      <w:pPr>
        <w:rPr>
          <w:rFonts w:ascii="Arial" w:hAnsi="Arial"/>
          <w:b/>
          <w:sz w:val="24"/>
        </w:rPr>
      </w:pPr>
    </w:p>
    <w:p w14:paraId="5616F96B" w14:textId="77777777" w:rsidR="00D33FFE" w:rsidRPr="000E2EB6" w:rsidRDefault="00D33FFE" w:rsidP="000E2EB6">
      <w:pPr>
        <w:rPr>
          <w:rFonts w:ascii="Arial" w:hAnsi="Arial"/>
          <w:b/>
          <w:sz w:val="24"/>
        </w:rPr>
      </w:pPr>
    </w:p>
    <w:tbl>
      <w:tblPr>
        <w:tblStyle w:val="WGTable1"/>
        <w:tblW w:w="4720" w:type="pct"/>
        <w:tblInd w:w="355" w:type="dxa"/>
        <w:tblLook w:val="00A0" w:firstRow="1" w:lastRow="0" w:firstColumn="1" w:lastColumn="0" w:noHBand="0" w:noVBand="0"/>
      </w:tblPr>
      <w:tblGrid>
        <w:gridCol w:w="1012"/>
        <w:gridCol w:w="1389"/>
        <w:gridCol w:w="2163"/>
        <w:gridCol w:w="753"/>
        <w:gridCol w:w="1320"/>
        <w:gridCol w:w="1320"/>
        <w:gridCol w:w="1132"/>
      </w:tblGrid>
      <w:tr w:rsidR="00E97FF9" w:rsidRPr="006B5E43" w14:paraId="409BA2A6" w14:textId="77777777" w:rsidTr="004377AE">
        <w:trPr>
          <w:cnfStyle w:val="100000000000" w:firstRow="1" w:lastRow="0" w:firstColumn="0" w:lastColumn="0" w:oddVBand="0" w:evenVBand="0" w:oddHBand="0" w:evenHBand="0" w:firstRowFirstColumn="0" w:firstRowLastColumn="0" w:lastRowFirstColumn="0" w:lastRowLastColumn="0"/>
          <w:trHeight w:hRule="exact" w:val="499"/>
        </w:trPr>
        <w:tc>
          <w:tcPr>
            <w:tcW w:w="5000" w:type="pct"/>
            <w:gridSpan w:val="7"/>
          </w:tcPr>
          <w:p w14:paraId="22A5758F" w14:textId="77777777" w:rsidR="00E97FF9" w:rsidRPr="00DE0652" w:rsidRDefault="00E97FF9" w:rsidP="00397BF7">
            <w:pPr>
              <w:pStyle w:val="WGKCoverPage2TableHeadingGreyLeftAlign"/>
              <w:jc w:val="left"/>
              <w:rPr>
                <w:rFonts w:ascii="Segoe UI" w:hAnsi="Segoe UI" w:cs="Segoe UI"/>
                <w:color w:val="auto"/>
              </w:rPr>
            </w:pPr>
            <w:r w:rsidRPr="00DE0652">
              <w:rPr>
                <w:rFonts w:ascii="Segoe UI" w:hAnsi="Segoe UI" w:cs="Segoe UI"/>
                <w:color w:val="auto"/>
              </w:rPr>
              <w:lastRenderedPageBreak/>
              <w:t>Document Title</w:t>
            </w:r>
          </w:p>
        </w:tc>
      </w:tr>
      <w:tr w:rsidR="00E97FF9" w:rsidRPr="006B5E43" w14:paraId="1217CB22" w14:textId="77777777" w:rsidTr="004377AE">
        <w:trPr>
          <w:cnfStyle w:val="000000100000" w:firstRow="0" w:lastRow="0" w:firstColumn="0" w:lastColumn="0" w:oddVBand="0" w:evenVBand="0" w:oddHBand="1" w:evenHBand="0" w:firstRowFirstColumn="0" w:firstRowLastColumn="0" w:lastRowFirstColumn="0" w:lastRowLastColumn="0"/>
          <w:trHeight w:hRule="exact" w:val="907"/>
        </w:trPr>
        <w:sdt>
          <w:sdtPr>
            <w:rPr>
              <w:rFonts w:ascii="Segoe UI" w:hAnsi="Segoe UI" w:cs="Segoe UI"/>
              <w:color w:val="auto"/>
            </w:rPr>
            <w:alias w:val="Title"/>
            <w:tag w:val=""/>
            <w:id w:val="470638360"/>
            <w:placeholder>
              <w:docPart w:val="AF7939FC411E45029934CA0FDBB6F746"/>
            </w:placeholder>
            <w:dataBinding w:prefixMappings="xmlns:ns0='http://purl.org/dc/elements/1.1/' xmlns:ns1='http://schemas.openxmlformats.org/package/2006/metadata/core-properties' " w:xpath="/ns1:coreProperties[1]/ns0:title[1]" w:storeItemID="{6C3C8BC8-F283-45AE-878A-BAB7291924A1}"/>
            <w:text/>
          </w:sdtPr>
          <w:sdtContent>
            <w:tc>
              <w:tcPr>
                <w:tcW w:w="5000" w:type="pct"/>
                <w:gridSpan w:val="7"/>
              </w:tcPr>
              <w:p w14:paraId="2DBBA0E2" w14:textId="43CBB2B2" w:rsidR="00E97FF9" w:rsidRPr="00DE0652" w:rsidRDefault="00131CB1" w:rsidP="00397BF7">
                <w:pPr>
                  <w:pStyle w:val="WGKCoverPage2TableHeadingGreyLeftAlign"/>
                  <w:tabs>
                    <w:tab w:val="left" w:pos="5877"/>
                  </w:tabs>
                  <w:jc w:val="left"/>
                  <w:rPr>
                    <w:rFonts w:ascii="Segoe UI" w:hAnsi="Segoe UI" w:cs="Segoe UI"/>
                    <w:color w:val="auto"/>
                  </w:rPr>
                </w:pPr>
                <w:r w:rsidRPr="00DE0652">
                  <w:rPr>
                    <w:rFonts w:ascii="Segoe UI" w:hAnsi="Segoe UI" w:cs="Segoe UI"/>
                    <w:color w:val="auto"/>
                  </w:rPr>
                  <w:t>Contracting Strategy Procedure</w:t>
                </w:r>
              </w:p>
            </w:tc>
          </w:sdtContent>
        </w:sdt>
      </w:tr>
      <w:tr w:rsidR="00E97FF9" w:rsidRPr="006B5E43" w14:paraId="650228A2" w14:textId="77777777" w:rsidTr="004377AE">
        <w:trPr>
          <w:cnfStyle w:val="000000010000" w:firstRow="0" w:lastRow="0" w:firstColumn="0" w:lastColumn="0" w:oddVBand="0" w:evenVBand="0" w:oddHBand="0" w:evenHBand="1" w:firstRowFirstColumn="0" w:firstRowLastColumn="0" w:lastRowFirstColumn="0" w:lastRowLastColumn="0"/>
          <w:trHeight w:val="501"/>
        </w:trPr>
        <w:tc>
          <w:tcPr>
            <w:tcW w:w="2511" w:type="pct"/>
            <w:gridSpan w:val="3"/>
          </w:tcPr>
          <w:p w14:paraId="35D88057" w14:textId="40D92BDF" w:rsidR="00E97FF9" w:rsidRPr="00DE0652" w:rsidRDefault="00E97FF9" w:rsidP="00397BF7">
            <w:pPr>
              <w:pStyle w:val="WGKCoverPage2TableHeadingGreyLeftAlign"/>
              <w:ind w:left="0"/>
              <w:jc w:val="left"/>
              <w:rPr>
                <w:rFonts w:ascii="Segoe UI" w:hAnsi="Segoe UI" w:cs="Segoe UI"/>
                <w:color w:val="auto"/>
              </w:rPr>
            </w:pPr>
            <w:r w:rsidRPr="00DE0652">
              <w:rPr>
                <w:rFonts w:ascii="Segoe UI" w:hAnsi="Segoe UI" w:cs="Segoe UI"/>
                <w:color w:val="auto"/>
              </w:rPr>
              <w:t xml:space="preserve"> </w:t>
            </w:r>
            <w:r w:rsidR="003B7F80" w:rsidRPr="00DE0652">
              <w:rPr>
                <w:rFonts w:ascii="Segoe UI" w:hAnsi="Segoe UI" w:cs="Segoe UI"/>
                <w:color w:val="auto"/>
              </w:rPr>
              <w:t xml:space="preserve">Document </w:t>
            </w:r>
            <w:r w:rsidRPr="00DE0652">
              <w:rPr>
                <w:rFonts w:ascii="Segoe UI" w:hAnsi="Segoe UI" w:cs="Segoe UI"/>
                <w:color w:val="auto"/>
              </w:rPr>
              <w:t>Reference Number</w:t>
            </w:r>
          </w:p>
        </w:tc>
        <w:tc>
          <w:tcPr>
            <w:tcW w:w="2489" w:type="pct"/>
            <w:gridSpan w:val="4"/>
          </w:tcPr>
          <w:p w14:paraId="4DC04ACB" w14:textId="77777777" w:rsidR="00E97FF9" w:rsidRPr="00DE0652" w:rsidRDefault="00E97FF9" w:rsidP="00397BF7">
            <w:pPr>
              <w:pStyle w:val="WGKCoverPage2TableHeadingGreyLeftAlign"/>
              <w:jc w:val="left"/>
              <w:rPr>
                <w:rFonts w:ascii="Segoe UI" w:hAnsi="Segoe UI" w:cs="Segoe UI"/>
                <w:color w:val="auto"/>
              </w:rPr>
            </w:pPr>
            <w:r w:rsidRPr="00DE0652">
              <w:rPr>
                <w:rFonts w:ascii="Segoe UI" w:hAnsi="Segoe UI" w:cs="Segoe UI"/>
                <w:color w:val="auto"/>
              </w:rPr>
              <w:t>Client Reference Number (if applicable)</w:t>
            </w:r>
          </w:p>
        </w:tc>
      </w:tr>
      <w:tr w:rsidR="00E97FF9" w:rsidRPr="006B5E43" w14:paraId="54F3945E" w14:textId="77777777" w:rsidTr="004377AE">
        <w:trPr>
          <w:cnfStyle w:val="000000100000" w:firstRow="0" w:lastRow="0" w:firstColumn="0" w:lastColumn="0" w:oddVBand="0" w:evenVBand="0" w:oddHBand="1" w:evenHBand="0" w:firstRowFirstColumn="0" w:firstRowLastColumn="0" w:lastRowFirstColumn="0" w:lastRowLastColumn="0"/>
          <w:trHeight w:val="804"/>
        </w:trPr>
        <w:tc>
          <w:tcPr>
            <w:tcW w:w="2511" w:type="pct"/>
            <w:gridSpan w:val="3"/>
          </w:tcPr>
          <w:sdt>
            <w:sdtPr>
              <w:rPr>
                <w:rFonts w:ascii="Segoe UI" w:hAnsi="Segoe UI" w:cs="Segoe UI"/>
                <w:color w:val="auto"/>
              </w:rPr>
              <w:alias w:val="Status"/>
              <w:tag w:val=""/>
              <w:id w:val="1682698603"/>
              <w:placeholder>
                <w:docPart w:val="F5E820353CAF427DB961C76E3D761C8A"/>
              </w:placeholder>
              <w:dataBinding w:prefixMappings="xmlns:ns0='http://purl.org/dc/elements/1.1/' xmlns:ns1='http://schemas.openxmlformats.org/package/2006/metadata/core-properties' " w:xpath="/ns1:coreProperties[1]/ns1:contentStatus[1]" w:storeItemID="{6C3C8BC8-F283-45AE-878A-BAB7291924A1}"/>
              <w:text/>
            </w:sdtPr>
            <w:sdtContent>
              <w:p w14:paraId="1EDDB55B" w14:textId="490CC5E3" w:rsidR="00E97FF9" w:rsidRPr="00DE0652" w:rsidRDefault="00131CB1" w:rsidP="00397BF7">
                <w:pPr>
                  <w:pStyle w:val="WGKCoverPage2TableHeadingGreyLeftAlign"/>
                  <w:jc w:val="left"/>
                  <w:rPr>
                    <w:rFonts w:ascii="Segoe UI" w:hAnsi="Segoe UI" w:cs="Segoe UI"/>
                    <w:color w:val="auto"/>
                  </w:rPr>
                </w:pPr>
                <w:r w:rsidRPr="00DE0652">
                  <w:rPr>
                    <w:rFonts w:ascii="Segoe UI" w:hAnsi="Segoe UI" w:cs="Segoe UI"/>
                    <w:color w:val="auto"/>
                  </w:rPr>
                  <w:t>NJE_CSP_202</w:t>
                </w:r>
                <w:r w:rsidR="00470779">
                  <w:rPr>
                    <w:rFonts w:ascii="Segoe UI" w:hAnsi="Segoe UI" w:cs="Segoe UI"/>
                    <w:color w:val="auto"/>
                  </w:rPr>
                  <w:t>6</w:t>
                </w:r>
              </w:p>
            </w:sdtContent>
          </w:sdt>
        </w:tc>
        <w:tc>
          <w:tcPr>
            <w:tcW w:w="2489" w:type="pct"/>
            <w:gridSpan w:val="4"/>
          </w:tcPr>
          <w:p w14:paraId="3A832A1E" w14:textId="066B7E03" w:rsidR="00E97FF9" w:rsidRPr="00DE0652" w:rsidRDefault="00E97FF9" w:rsidP="00397BF7">
            <w:pPr>
              <w:pStyle w:val="WGKCoverPage2TableHeadingGreyLeftAlign"/>
              <w:jc w:val="left"/>
              <w:rPr>
                <w:rFonts w:ascii="Segoe UI" w:hAnsi="Segoe UI" w:cs="Segoe UI"/>
                <w:color w:val="auto"/>
              </w:rPr>
            </w:pPr>
          </w:p>
        </w:tc>
      </w:tr>
      <w:tr w:rsidR="00E97FF9" w:rsidRPr="006B5E43" w14:paraId="68F86B8F" w14:textId="77777777" w:rsidTr="004377AE">
        <w:trPr>
          <w:cnfStyle w:val="000000010000" w:firstRow="0" w:lastRow="0" w:firstColumn="0" w:lastColumn="0" w:oddVBand="0" w:evenVBand="0" w:oddHBand="0" w:evenHBand="1" w:firstRowFirstColumn="0" w:firstRowLastColumn="0" w:lastRowFirstColumn="0" w:lastRowLastColumn="0"/>
          <w:trHeight w:hRule="exact" w:val="499"/>
        </w:trPr>
        <w:tc>
          <w:tcPr>
            <w:tcW w:w="5000" w:type="pct"/>
            <w:gridSpan w:val="7"/>
          </w:tcPr>
          <w:p w14:paraId="1F8FC154" w14:textId="15ACB5D8" w:rsidR="00E97FF9" w:rsidRPr="00DE0652" w:rsidRDefault="00E97FF9" w:rsidP="00397BF7">
            <w:pPr>
              <w:pStyle w:val="WGKCoverPage2TableHeadingGreyLeftAlign"/>
              <w:jc w:val="left"/>
              <w:rPr>
                <w:rFonts w:ascii="Segoe UI" w:hAnsi="Segoe UI" w:cs="Segoe UI"/>
                <w:color w:val="auto"/>
              </w:rPr>
            </w:pPr>
            <w:r w:rsidRPr="00DE0652">
              <w:rPr>
                <w:rFonts w:ascii="Segoe UI" w:hAnsi="Segoe UI" w:cs="Segoe UI"/>
                <w:color w:val="auto"/>
              </w:rPr>
              <w:t xml:space="preserve">Contact </w:t>
            </w:r>
            <w:r w:rsidR="00A31557">
              <w:rPr>
                <w:rFonts w:ascii="Segoe UI" w:hAnsi="Segoe UI" w:cs="Segoe UI"/>
                <w:color w:val="auto"/>
              </w:rPr>
              <w:t>I</w:t>
            </w:r>
            <w:r w:rsidR="00A31557" w:rsidRPr="00A31557">
              <w:rPr>
                <w:rFonts w:ascii="Segoe UI" w:hAnsi="Segoe UI" w:cs="Segoe UI"/>
                <w:color w:val="auto"/>
              </w:rPr>
              <w:t>nformation</w:t>
            </w:r>
          </w:p>
        </w:tc>
      </w:tr>
      <w:tr w:rsidR="00E97FF9" w:rsidRPr="006B5E43" w14:paraId="679A9BE8" w14:textId="77777777" w:rsidTr="003D4866">
        <w:trPr>
          <w:cnfStyle w:val="000000100000" w:firstRow="0" w:lastRow="0" w:firstColumn="0" w:lastColumn="0" w:oddVBand="0" w:evenVBand="0" w:oddHBand="1" w:evenHBand="0" w:firstRowFirstColumn="0" w:firstRowLastColumn="0" w:lastRowFirstColumn="0" w:lastRowLastColumn="0"/>
          <w:trHeight w:hRule="exact" w:val="4582"/>
        </w:trPr>
        <w:tc>
          <w:tcPr>
            <w:tcW w:w="5000" w:type="pct"/>
            <w:gridSpan w:val="7"/>
          </w:tcPr>
          <w:p w14:paraId="718AB4BD" w14:textId="2417EEED" w:rsidR="004811C9" w:rsidRDefault="00A31557" w:rsidP="00397BF7">
            <w:pPr>
              <w:jc w:val="left"/>
              <w:rPr>
                <w:rStyle w:val="BodyText2Char"/>
                <w:rFonts w:ascii="Segoe UI" w:eastAsiaTheme="minorHAnsi" w:hAnsi="Segoe UI" w:cs="Segoe UI"/>
              </w:rPr>
            </w:pPr>
            <w:r w:rsidRPr="00A31557">
              <w:rPr>
                <w:rStyle w:val="BodyText2Char"/>
                <w:rFonts w:ascii="Segoe UI" w:eastAsiaTheme="minorHAnsi" w:hAnsi="Segoe UI" w:cs="Segoe UI"/>
                <w:b/>
                <w:bCs/>
              </w:rPr>
              <w:t>Name:</w:t>
            </w:r>
            <w:r>
              <w:rPr>
                <w:rStyle w:val="BodyText2Char"/>
                <w:rFonts w:ascii="Segoe UI" w:eastAsiaTheme="minorHAnsi" w:hAnsi="Segoe UI" w:cs="Segoe UI"/>
              </w:rPr>
              <w:t xml:space="preserve"> </w:t>
            </w:r>
            <w:r w:rsidR="00131CB1" w:rsidRPr="00DE0652">
              <w:rPr>
                <w:rStyle w:val="BodyText2Char"/>
                <w:rFonts w:ascii="Segoe UI" w:eastAsiaTheme="minorHAnsi" w:hAnsi="Segoe UI" w:cs="Segoe UI"/>
              </w:rPr>
              <w:t xml:space="preserve">Nicholas John Evans </w:t>
            </w:r>
            <w:r w:rsidR="004811C9" w:rsidRPr="004811C9">
              <w:rPr>
                <w:rFonts w:ascii="Segoe UI" w:eastAsiaTheme="minorHAnsi" w:hAnsi="Segoe UI" w:cs="Segoe UI"/>
              </w:rPr>
              <w:t>B.Sc. (Hons) MRICS, AMICE</w:t>
            </w:r>
            <w:r w:rsidR="00E97FF9" w:rsidRPr="00DE0652">
              <w:rPr>
                <w:rStyle w:val="BodyText2Char"/>
                <w:rFonts w:ascii="Segoe UI" w:eastAsiaTheme="minorHAnsi" w:hAnsi="Segoe UI" w:cs="Segoe UI"/>
              </w:rPr>
              <w:t xml:space="preserve"> </w:t>
            </w:r>
          </w:p>
          <w:p w14:paraId="58274F1A" w14:textId="00A17936" w:rsidR="00131CB1" w:rsidRPr="00DE0652" w:rsidRDefault="00A31557" w:rsidP="00397BF7">
            <w:pPr>
              <w:jc w:val="left"/>
              <w:rPr>
                <w:rStyle w:val="BodyText2Char"/>
                <w:rFonts w:ascii="Segoe UI" w:eastAsiaTheme="minorHAnsi" w:hAnsi="Segoe UI" w:cs="Segoe UI"/>
              </w:rPr>
            </w:pPr>
            <w:r w:rsidRPr="00A31557">
              <w:rPr>
                <w:rStyle w:val="BodyText2Char"/>
                <w:rFonts w:ascii="Segoe UI" w:eastAsiaTheme="minorHAnsi" w:hAnsi="Segoe UI" w:cs="Segoe UI"/>
                <w:b/>
                <w:bCs/>
              </w:rPr>
              <w:t>Title:</w:t>
            </w:r>
            <w:r>
              <w:rPr>
                <w:rStyle w:val="BodyText2Char"/>
                <w:rFonts w:ascii="Segoe UI" w:eastAsiaTheme="minorHAnsi" w:hAnsi="Segoe UI" w:cs="Segoe UI"/>
              </w:rPr>
              <w:t xml:space="preserve"> </w:t>
            </w:r>
            <w:r w:rsidR="00131CB1" w:rsidRPr="00DE0652">
              <w:rPr>
                <w:rStyle w:val="BodyText2Char"/>
                <w:rFonts w:ascii="Segoe UI" w:eastAsiaTheme="minorHAnsi" w:hAnsi="Segoe UI" w:cs="Segoe UI"/>
              </w:rPr>
              <w:t>Chartered Quantity Surveyor</w:t>
            </w:r>
          </w:p>
          <w:p w14:paraId="39302BA2" w14:textId="40AAE1B6" w:rsidR="00E97FF9" w:rsidRPr="00DE0652" w:rsidRDefault="00A31557" w:rsidP="00397BF7">
            <w:pPr>
              <w:jc w:val="left"/>
              <w:rPr>
                <w:rStyle w:val="BodyTextChar"/>
                <w:rFonts w:eastAsiaTheme="minorHAnsi" w:cs="Segoe UI"/>
              </w:rPr>
            </w:pPr>
            <w:r w:rsidRPr="00A31557">
              <w:rPr>
                <w:rStyle w:val="BodyText2Char"/>
                <w:rFonts w:ascii="Segoe UI" w:eastAsiaTheme="minorHAnsi" w:hAnsi="Segoe UI" w:cs="Segoe UI"/>
                <w:b/>
                <w:bCs/>
              </w:rPr>
              <w:t>Email:</w:t>
            </w:r>
            <w:r>
              <w:rPr>
                <w:rStyle w:val="BodyText2Char"/>
                <w:rFonts w:ascii="Segoe UI" w:eastAsiaTheme="minorHAnsi" w:hAnsi="Segoe UI" w:cs="Segoe UI"/>
              </w:rPr>
              <w:t xml:space="preserve"> </w:t>
            </w:r>
            <w:r w:rsidR="00131CB1" w:rsidRPr="00DE0652">
              <w:rPr>
                <w:rStyle w:val="BodyText2Char"/>
                <w:rFonts w:ascii="Segoe UI" w:eastAsiaTheme="minorHAnsi" w:hAnsi="Segoe UI" w:cs="Segoe UI"/>
              </w:rPr>
              <w:t xml:space="preserve">n.evans@njeqs.com </w:t>
            </w:r>
          </w:p>
          <w:p w14:paraId="0806CAEF" w14:textId="77777777" w:rsidR="00E97FF9" w:rsidRPr="00DE0652" w:rsidRDefault="00E97FF9" w:rsidP="00397BF7">
            <w:pPr>
              <w:jc w:val="left"/>
              <w:rPr>
                <w:rStyle w:val="BodyTextChar"/>
                <w:rFonts w:eastAsiaTheme="minorHAnsi" w:cs="Segoe UI"/>
              </w:rPr>
            </w:pPr>
          </w:p>
          <w:p w14:paraId="2DD5368D" w14:textId="2C4FD94C" w:rsidR="00E97FF9" w:rsidRPr="00DE0652" w:rsidRDefault="00E97FF9" w:rsidP="00397BF7">
            <w:pPr>
              <w:jc w:val="left"/>
              <w:rPr>
                <w:rFonts w:ascii="Segoe UI" w:eastAsiaTheme="minorHAnsi" w:hAnsi="Segoe UI" w:cs="Segoe UI"/>
              </w:rPr>
            </w:pPr>
            <w:r w:rsidRPr="00A31557">
              <w:rPr>
                <w:rStyle w:val="BodyText2Char"/>
                <w:rFonts w:ascii="Segoe UI" w:eastAsiaTheme="minorHAnsi" w:hAnsi="Segoe UI" w:cs="Segoe UI"/>
                <w:b/>
                <w:bCs/>
              </w:rPr>
              <w:t>Company Name:</w:t>
            </w:r>
            <w:r w:rsidRPr="00DE0652">
              <w:rPr>
                <w:rStyle w:val="BodyText2Char"/>
                <w:rFonts w:ascii="Segoe UI" w:eastAsiaTheme="minorHAnsi" w:hAnsi="Segoe UI" w:cs="Segoe UI"/>
              </w:rPr>
              <w:t xml:space="preserve"> </w:t>
            </w:r>
            <w:r w:rsidR="003B7F80" w:rsidRPr="00DE0652">
              <w:rPr>
                <w:rStyle w:val="BodyText2Char"/>
                <w:rFonts w:ascii="Segoe UI" w:eastAsiaTheme="minorHAnsi" w:hAnsi="Segoe UI" w:cs="Segoe UI"/>
              </w:rPr>
              <w:t>NJE Quantity Surveying Ltd</w:t>
            </w:r>
            <w:r w:rsidR="007A6FB8">
              <w:rPr>
                <w:rStyle w:val="BodyText2Char"/>
                <w:rFonts w:ascii="Segoe UI" w:eastAsiaTheme="minorHAnsi" w:hAnsi="Segoe UI" w:cs="Segoe UI"/>
              </w:rPr>
              <w:t xml:space="preserve"> (Registered in Scotland)</w:t>
            </w:r>
          </w:p>
        </w:tc>
      </w:tr>
      <w:tr w:rsidR="004377AE" w:rsidRPr="006B5E43" w14:paraId="4B2E56CC" w14:textId="77777777" w:rsidTr="004377AE">
        <w:trPr>
          <w:cnfStyle w:val="000000010000" w:firstRow="0" w:lastRow="0" w:firstColumn="0" w:lastColumn="0" w:oddVBand="0" w:evenVBand="0" w:oddHBand="0" w:evenHBand="1" w:firstRowFirstColumn="0" w:firstRowLastColumn="0" w:lastRowFirstColumn="0" w:lastRowLastColumn="0"/>
          <w:trHeight w:val="500"/>
        </w:trPr>
        <w:tc>
          <w:tcPr>
            <w:tcW w:w="557" w:type="pct"/>
          </w:tcPr>
          <w:p w14:paraId="315C0792"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Revision</w:t>
            </w:r>
          </w:p>
        </w:tc>
        <w:tc>
          <w:tcPr>
            <w:tcW w:w="764" w:type="pct"/>
          </w:tcPr>
          <w:p w14:paraId="329B4248"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Date</w:t>
            </w:r>
          </w:p>
        </w:tc>
        <w:tc>
          <w:tcPr>
            <w:tcW w:w="1604" w:type="pct"/>
            <w:gridSpan w:val="2"/>
          </w:tcPr>
          <w:p w14:paraId="094AA09F"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Reason for Issue</w:t>
            </w:r>
          </w:p>
        </w:tc>
        <w:tc>
          <w:tcPr>
            <w:tcW w:w="726" w:type="pct"/>
          </w:tcPr>
          <w:p w14:paraId="0F00ACC9"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 xml:space="preserve">Prepared </w:t>
            </w:r>
          </w:p>
        </w:tc>
        <w:tc>
          <w:tcPr>
            <w:tcW w:w="726" w:type="pct"/>
          </w:tcPr>
          <w:p w14:paraId="27F15744"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Checked</w:t>
            </w:r>
          </w:p>
        </w:tc>
        <w:tc>
          <w:tcPr>
            <w:tcW w:w="623" w:type="pct"/>
          </w:tcPr>
          <w:p w14:paraId="70AD80AD" w14:textId="77777777" w:rsidR="00E97FF9" w:rsidRPr="00DE0652" w:rsidRDefault="00E97FF9" w:rsidP="00397BF7">
            <w:pPr>
              <w:pStyle w:val="StyleWGKCoverPage2QATableHeadingGreyCentredBoldAuto1"/>
              <w:rPr>
                <w:rFonts w:ascii="Segoe UI" w:hAnsi="Segoe UI" w:cs="Segoe UI"/>
                <w:b w:val="0"/>
                <w:color w:val="auto"/>
              </w:rPr>
            </w:pPr>
            <w:r w:rsidRPr="00DE0652">
              <w:rPr>
                <w:rFonts w:ascii="Segoe UI" w:hAnsi="Segoe UI" w:cs="Segoe UI"/>
                <w:color w:val="auto"/>
              </w:rPr>
              <w:t>Approved</w:t>
            </w:r>
          </w:p>
        </w:tc>
      </w:tr>
      <w:tr w:rsidR="00E97FF9" w:rsidRPr="006B5E43" w14:paraId="54E0049E" w14:textId="77777777" w:rsidTr="004377AE">
        <w:trPr>
          <w:cnfStyle w:val="000000100000" w:firstRow="0" w:lastRow="0" w:firstColumn="0" w:lastColumn="0" w:oddVBand="0" w:evenVBand="0" w:oddHBand="1" w:evenHBand="0" w:firstRowFirstColumn="0" w:firstRowLastColumn="0" w:lastRowFirstColumn="0" w:lastRowLastColumn="0"/>
          <w:trHeight w:val="500"/>
        </w:trPr>
        <w:tc>
          <w:tcPr>
            <w:tcW w:w="557" w:type="pct"/>
          </w:tcPr>
          <w:p w14:paraId="4BC4A3F4"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64" w:type="pct"/>
          </w:tcPr>
          <w:p w14:paraId="51D2AB4B"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1604" w:type="pct"/>
            <w:gridSpan w:val="2"/>
          </w:tcPr>
          <w:p w14:paraId="1A024C6B" w14:textId="77777777" w:rsidR="00E97FF9" w:rsidRPr="00DE0652" w:rsidRDefault="00E97FF9" w:rsidP="00397BF7">
            <w:pPr>
              <w:pStyle w:val="WGTableText"/>
              <w:rPr>
                <w:rFonts w:ascii="Segoe UI" w:hAnsi="Segoe UI" w:cs="Segoe UI"/>
                <w:color w:val="auto"/>
              </w:rPr>
            </w:pPr>
          </w:p>
        </w:tc>
        <w:tc>
          <w:tcPr>
            <w:tcW w:w="726" w:type="pct"/>
          </w:tcPr>
          <w:p w14:paraId="653A551F"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26" w:type="pct"/>
          </w:tcPr>
          <w:p w14:paraId="09E08592"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623" w:type="pct"/>
          </w:tcPr>
          <w:p w14:paraId="0570D675" w14:textId="77777777" w:rsidR="00E97FF9" w:rsidRPr="00DE0652" w:rsidRDefault="00E97FF9" w:rsidP="00397BF7">
            <w:pPr>
              <w:pStyle w:val="WGKTableTextCentred"/>
              <w:spacing w:before="120" w:after="120"/>
              <w:ind w:left="0" w:right="0"/>
              <w:rPr>
                <w:rFonts w:ascii="Segoe UI" w:hAnsi="Segoe UI" w:cs="Segoe UI"/>
                <w:color w:val="auto"/>
              </w:rPr>
            </w:pPr>
          </w:p>
        </w:tc>
      </w:tr>
      <w:tr w:rsidR="004377AE" w:rsidRPr="006B5E43" w14:paraId="41A60F14" w14:textId="77777777" w:rsidTr="004377AE">
        <w:trPr>
          <w:cnfStyle w:val="000000010000" w:firstRow="0" w:lastRow="0" w:firstColumn="0" w:lastColumn="0" w:oddVBand="0" w:evenVBand="0" w:oddHBand="0" w:evenHBand="1" w:firstRowFirstColumn="0" w:firstRowLastColumn="0" w:lastRowFirstColumn="0" w:lastRowLastColumn="0"/>
          <w:trHeight w:val="500"/>
        </w:trPr>
        <w:tc>
          <w:tcPr>
            <w:tcW w:w="557" w:type="pct"/>
          </w:tcPr>
          <w:p w14:paraId="311E117E"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64" w:type="pct"/>
          </w:tcPr>
          <w:p w14:paraId="6991DE6C"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1604" w:type="pct"/>
            <w:gridSpan w:val="2"/>
          </w:tcPr>
          <w:p w14:paraId="1C0EB24C"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26" w:type="pct"/>
          </w:tcPr>
          <w:p w14:paraId="7ADAD803"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26" w:type="pct"/>
          </w:tcPr>
          <w:p w14:paraId="389DD317"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623" w:type="pct"/>
          </w:tcPr>
          <w:p w14:paraId="19B7F7B1" w14:textId="77777777" w:rsidR="00E97FF9" w:rsidRPr="00DE0652" w:rsidRDefault="00E97FF9" w:rsidP="00397BF7">
            <w:pPr>
              <w:pStyle w:val="WGKTableTextCentred"/>
              <w:spacing w:before="120" w:after="120"/>
              <w:ind w:left="0" w:right="0"/>
              <w:rPr>
                <w:rFonts w:ascii="Segoe UI" w:hAnsi="Segoe UI" w:cs="Segoe UI"/>
                <w:color w:val="auto"/>
              </w:rPr>
            </w:pPr>
          </w:p>
        </w:tc>
      </w:tr>
      <w:tr w:rsidR="00E97FF9" w:rsidRPr="006B5E43" w14:paraId="2014C2BE" w14:textId="77777777" w:rsidTr="004377AE">
        <w:trPr>
          <w:cnfStyle w:val="000000100000" w:firstRow="0" w:lastRow="0" w:firstColumn="0" w:lastColumn="0" w:oddVBand="0" w:evenVBand="0" w:oddHBand="1" w:evenHBand="0" w:firstRowFirstColumn="0" w:firstRowLastColumn="0" w:lastRowFirstColumn="0" w:lastRowLastColumn="0"/>
          <w:trHeight w:val="500"/>
        </w:trPr>
        <w:tc>
          <w:tcPr>
            <w:tcW w:w="557" w:type="pct"/>
          </w:tcPr>
          <w:p w14:paraId="1A9D3A93"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64" w:type="pct"/>
          </w:tcPr>
          <w:p w14:paraId="1CDCD7BF"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1604" w:type="pct"/>
            <w:gridSpan w:val="2"/>
          </w:tcPr>
          <w:p w14:paraId="5F4D72A8"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26" w:type="pct"/>
          </w:tcPr>
          <w:p w14:paraId="393480AE"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726" w:type="pct"/>
          </w:tcPr>
          <w:p w14:paraId="2E397166" w14:textId="77777777" w:rsidR="00E97FF9" w:rsidRPr="00DE0652" w:rsidRDefault="00E97FF9" w:rsidP="00397BF7">
            <w:pPr>
              <w:pStyle w:val="WGKTableTextCentred"/>
              <w:spacing w:before="120" w:after="120"/>
              <w:ind w:left="0" w:right="0"/>
              <w:rPr>
                <w:rFonts w:ascii="Segoe UI" w:hAnsi="Segoe UI" w:cs="Segoe UI"/>
                <w:color w:val="auto"/>
              </w:rPr>
            </w:pPr>
          </w:p>
        </w:tc>
        <w:tc>
          <w:tcPr>
            <w:tcW w:w="623" w:type="pct"/>
          </w:tcPr>
          <w:p w14:paraId="6CC015E4" w14:textId="77777777" w:rsidR="00E97FF9" w:rsidRPr="00DE0652" w:rsidRDefault="00E97FF9" w:rsidP="00397BF7">
            <w:pPr>
              <w:pStyle w:val="WGKTableTextCentred"/>
              <w:spacing w:before="120" w:after="120"/>
              <w:ind w:left="0" w:right="0"/>
              <w:rPr>
                <w:rFonts w:ascii="Segoe UI" w:hAnsi="Segoe UI" w:cs="Segoe UI"/>
                <w:color w:val="auto"/>
              </w:rPr>
            </w:pPr>
          </w:p>
        </w:tc>
      </w:tr>
      <w:tr w:rsidR="004377AE" w:rsidRPr="006B5E43" w14:paraId="52185FC1" w14:textId="77777777" w:rsidTr="004377AE">
        <w:trPr>
          <w:cnfStyle w:val="000000010000" w:firstRow="0" w:lastRow="0" w:firstColumn="0" w:lastColumn="0" w:oddVBand="0" w:evenVBand="0" w:oddHBand="0" w:evenHBand="1" w:firstRowFirstColumn="0" w:firstRowLastColumn="0" w:lastRowFirstColumn="0" w:lastRowLastColumn="0"/>
          <w:trHeight w:val="500"/>
        </w:trPr>
        <w:tc>
          <w:tcPr>
            <w:tcW w:w="557" w:type="pct"/>
          </w:tcPr>
          <w:p w14:paraId="577FB0B0" w14:textId="70A43DC5" w:rsidR="00E97FF9" w:rsidRPr="00DE0652" w:rsidRDefault="003B7F80" w:rsidP="00397BF7">
            <w:pPr>
              <w:pStyle w:val="WGTableText"/>
              <w:rPr>
                <w:rFonts w:ascii="Segoe UI" w:hAnsi="Segoe UI" w:cs="Segoe UI"/>
                <w:color w:val="auto"/>
              </w:rPr>
            </w:pPr>
            <w:r w:rsidRPr="00DE0652">
              <w:rPr>
                <w:rFonts w:ascii="Segoe UI" w:hAnsi="Segoe UI" w:cs="Segoe UI"/>
                <w:color w:val="auto"/>
              </w:rPr>
              <w:t>1</w:t>
            </w:r>
          </w:p>
        </w:tc>
        <w:tc>
          <w:tcPr>
            <w:tcW w:w="764" w:type="pct"/>
          </w:tcPr>
          <w:p w14:paraId="58AA3C95" w14:textId="66B58FB5" w:rsidR="00E97FF9" w:rsidRPr="00DE0652" w:rsidRDefault="00064350" w:rsidP="00064350">
            <w:pPr>
              <w:pStyle w:val="WGTableText"/>
              <w:jc w:val="left"/>
              <w:rPr>
                <w:rFonts w:ascii="Segoe UI" w:hAnsi="Segoe UI" w:cs="Segoe UI"/>
                <w:color w:val="auto"/>
              </w:rPr>
            </w:pPr>
            <w:r w:rsidRPr="00DE0652">
              <w:rPr>
                <w:rFonts w:ascii="Segoe UI" w:hAnsi="Segoe UI" w:cs="Segoe UI"/>
                <w:color w:val="auto"/>
              </w:rPr>
              <w:t>12</w:t>
            </w:r>
            <w:r w:rsidRPr="00DE0652">
              <w:rPr>
                <w:rFonts w:ascii="Segoe UI" w:hAnsi="Segoe UI" w:cs="Segoe UI"/>
                <w:color w:val="auto"/>
                <w:vertAlign w:val="superscript"/>
              </w:rPr>
              <w:t>th</w:t>
            </w:r>
            <w:r w:rsidRPr="00DE0652">
              <w:rPr>
                <w:rFonts w:ascii="Segoe UI" w:hAnsi="Segoe UI" w:cs="Segoe UI"/>
                <w:color w:val="auto"/>
              </w:rPr>
              <w:t xml:space="preserve"> April 202</w:t>
            </w:r>
            <w:r w:rsidR="00470779">
              <w:rPr>
                <w:rFonts w:ascii="Segoe UI" w:hAnsi="Segoe UI" w:cs="Segoe UI"/>
                <w:color w:val="auto"/>
              </w:rPr>
              <w:t>6</w:t>
            </w:r>
          </w:p>
        </w:tc>
        <w:tc>
          <w:tcPr>
            <w:tcW w:w="1604" w:type="pct"/>
            <w:gridSpan w:val="2"/>
          </w:tcPr>
          <w:p w14:paraId="15E30882" w14:textId="40232112" w:rsidR="00E97FF9" w:rsidRPr="00DE0652" w:rsidRDefault="00E97FF9" w:rsidP="00397BF7">
            <w:pPr>
              <w:pStyle w:val="WGTableText"/>
              <w:rPr>
                <w:rFonts w:ascii="Segoe UI" w:hAnsi="Segoe UI" w:cs="Segoe UI"/>
                <w:color w:val="auto"/>
              </w:rPr>
            </w:pPr>
            <w:r w:rsidRPr="00DE0652">
              <w:rPr>
                <w:rFonts w:ascii="Segoe UI" w:hAnsi="Segoe UI" w:cs="Segoe UI"/>
                <w:color w:val="auto"/>
              </w:rPr>
              <w:t xml:space="preserve">For </w:t>
            </w:r>
            <w:r w:rsidR="004A3A66">
              <w:rPr>
                <w:rFonts w:ascii="Segoe UI" w:hAnsi="Segoe UI" w:cs="Segoe UI"/>
                <w:color w:val="auto"/>
              </w:rPr>
              <w:t>Client Advisory</w:t>
            </w:r>
          </w:p>
        </w:tc>
        <w:tc>
          <w:tcPr>
            <w:tcW w:w="726" w:type="pct"/>
          </w:tcPr>
          <w:p w14:paraId="41CA17AD" w14:textId="55AEC854" w:rsidR="00E97FF9" w:rsidRPr="00DE0652" w:rsidRDefault="00064350" w:rsidP="00064350">
            <w:pPr>
              <w:pStyle w:val="WGTableText"/>
              <w:rPr>
                <w:rFonts w:ascii="Segoe UI" w:hAnsi="Segoe UI" w:cs="Segoe UI"/>
                <w:color w:val="auto"/>
              </w:rPr>
            </w:pPr>
            <w:r w:rsidRPr="00DE0652">
              <w:rPr>
                <w:rFonts w:ascii="Segoe UI" w:hAnsi="Segoe UI" w:cs="Segoe UI"/>
                <w:color w:val="auto"/>
              </w:rPr>
              <w:t>NE</w:t>
            </w:r>
          </w:p>
        </w:tc>
        <w:tc>
          <w:tcPr>
            <w:tcW w:w="726" w:type="pct"/>
          </w:tcPr>
          <w:p w14:paraId="00FB2763" w14:textId="40FAF6D1" w:rsidR="00E97FF9" w:rsidRPr="00DE0652" w:rsidRDefault="00064350" w:rsidP="00064350">
            <w:pPr>
              <w:pStyle w:val="WGTableText"/>
              <w:rPr>
                <w:rFonts w:ascii="Segoe UI" w:hAnsi="Segoe UI" w:cs="Segoe UI"/>
                <w:color w:val="auto"/>
              </w:rPr>
            </w:pPr>
            <w:r w:rsidRPr="00DE0652">
              <w:rPr>
                <w:rFonts w:ascii="Segoe UI" w:hAnsi="Segoe UI" w:cs="Segoe UI"/>
                <w:color w:val="auto"/>
              </w:rPr>
              <w:t>NE</w:t>
            </w:r>
          </w:p>
        </w:tc>
        <w:tc>
          <w:tcPr>
            <w:tcW w:w="623" w:type="pct"/>
          </w:tcPr>
          <w:p w14:paraId="3E22A4C8" w14:textId="615D5D8F" w:rsidR="00E97FF9" w:rsidRPr="00DE0652" w:rsidRDefault="00064350" w:rsidP="00064350">
            <w:pPr>
              <w:pStyle w:val="WGTableText"/>
              <w:rPr>
                <w:rFonts w:ascii="Segoe UI" w:hAnsi="Segoe UI" w:cs="Segoe UI"/>
                <w:color w:val="auto"/>
              </w:rPr>
            </w:pPr>
            <w:r w:rsidRPr="00DE0652">
              <w:rPr>
                <w:rFonts w:ascii="Segoe UI" w:hAnsi="Segoe UI" w:cs="Segoe UI"/>
                <w:color w:val="auto"/>
              </w:rPr>
              <w:t>NE</w:t>
            </w:r>
          </w:p>
        </w:tc>
      </w:tr>
    </w:tbl>
    <w:p w14:paraId="522C47B1" w14:textId="77777777" w:rsidR="00A46BA5" w:rsidRDefault="00A46BA5" w:rsidP="00A46BA5">
      <w:pPr>
        <w:rPr>
          <w:rFonts w:ascii="Arial" w:hAnsi="Arial"/>
          <w:b/>
          <w:sz w:val="24"/>
        </w:rPr>
        <w:sectPr w:rsidR="00A46BA5" w:rsidSect="00A46BA5">
          <w:headerReference w:type="default" r:id="rId9"/>
          <w:pgSz w:w="11906" w:h="16838" w:code="9"/>
          <w:pgMar w:top="1134" w:right="1134" w:bottom="1661" w:left="1134" w:header="720" w:footer="720" w:gutter="0"/>
          <w:cols w:space="720"/>
        </w:sectPr>
      </w:pPr>
    </w:p>
    <w:p w14:paraId="7B1792EE" w14:textId="77777777" w:rsidR="00A46BA5" w:rsidRDefault="00A46BA5" w:rsidP="006351F2">
      <w:pPr>
        <w:rPr>
          <w:b/>
          <w:sz w:val="24"/>
        </w:rPr>
      </w:pPr>
    </w:p>
    <w:p w14:paraId="12757739" w14:textId="77777777" w:rsidR="00F61ED8" w:rsidRPr="001D53B3" w:rsidRDefault="00F61ED8" w:rsidP="00F61ED8">
      <w:pPr>
        <w:spacing w:before="120" w:after="120"/>
        <w:rPr>
          <w:rFonts w:ascii="Arial" w:eastAsia="Arial" w:hAnsi="Arial" w:cs="Arial"/>
          <w:b/>
          <w:sz w:val="40"/>
          <w:szCs w:val="40"/>
        </w:rPr>
      </w:pPr>
      <w:r w:rsidRPr="001D53B3">
        <w:rPr>
          <w:rFonts w:ascii="Arial" w:eastAsia="Arial" w:hAnsi="Arial" w:cs="Arial"/>
          <w:b/>
          <w:sz w:val="40"/>
          <w:szCs w:val="40"/>
        </w:rPr>
        <w:t>Table of Contents</w:t>
      </w:r>
    </w:p>
    <w:p w14:paraId="3136738A" w14:textId="77777777" w:rsidR="0067445C" w:rsidRPr="00F61ED8" w:rsidRDefault="0067445C" w:rsidP="00F61ED8">
      <w:pPr>
        <w:spacing w:before="120" w:after="120"/>
        <w:rPr>
          <w:rFonts w:ascii="Segoe UI" w:eastAsia="Arial" w:hAnsi="Segoe UI" w:cs="Segoe UI"/>
          <w:b/>
          <w:sz w:val="28"/>
          <w:szCs w:val="28"/>
        </w:rPr>
      </w:pPr>
    </w:p>
    <w:p w14:paraId="133E8486" w14:textId="65624DEA" w:rsidR="005B4ADD" w:rsidRPr="001D53B3" w:rsidRDefault="00F61ED8">
      <w:pPr>
        <w:pStyle w:val="TOC2"/>
        <w:tabs>
          <w:tab w:val="left" w:pos="720"/>
          <w:tab w:val="right" w:leader="dot" w:pos="9628"/>
        </w:tabs>
        <w:rPr>
          <w:rFonts w:ascii="Arial" w:hAnsi="Arial" w:cs="Arial"/>
          <w:b/>
          <w:bCs/>
          <w:noProof/>
          <w:sz w:val="28"/>
          <w:szCs w:val="28"/>
        </w:rPr>
      </w:pPr>
      <w:r w:rsidRPr="001D53B3">
        <w:rPr>
          <w:rFonts w:ascii="Arial" w:hAnsi="Arial" w:cs="Arial"/>
          <w:b/>
          <w:bCs/>
          <w:noProof/>
          <w:color w:val="233845"/>
          <w:kern w:val="28"/>
          <w:sz w:val="32"/>
          <w:szCs w:val="32"/>
        </w:rPr>
        <w:fldChar w:fldCharType="begin"/>
      </w:r>
      <w:r w:rsidRPr="001D53B3">
        <w:rPr>
          <w:rFonts w:ascii="Arial" w:hAnsi="Arial" w:cs="Arial"/>
          <w:b/>
          <w:bCs/>
          <w:noProof/>
          <w:color w:val="233845"/>
          <w:kern w:val="28"/>
          <w:sz w:val="32"/>
          <w:szCs w:val="32"/>
        </w:rPr>
        <w:instrText xml:space="preserve"> TOC \o "1-3" \h \z \u \t "Heading 7,5,Heading 8,6,Heading 9,7" </w:instrText>
      </w:r>
      <w:r w:rsidRPr="001D53B3">
        <w:rPr>
          <w:rFonts w:ascii="Arial" w:hAnsi="Arial" w:cs="Arial"/>
          <w:b/>
          <w:bCs/>
          <w:noProof/>
          <w:color w:val="233845"/>
          <w:kern w:val="28"/>
          <w:sz w:val="32"/>
          <w:szCs w:val="32"/>
        </w:rPr>
        <w:fldChar w:fldCharType="separate"/>
      </w:r>
      <w:hyperlink w:anchor="_Toc195617891" w:history="1">
        <w:r w:rsidR="005B4ADD" w:rsidRPr="001D53B3">
          <w:rPr>
            <w:rStyle w:val="Hyperlink"/>
            <w:rFonts w:ascii="Arial" w:hAnsi="Arial" w:cs="Arial"/>
            <w:b/>
            <w:bCs/>
            <w:noProof/>
            <w:sz w:val="28"/>
            <w:szCs w:val="28"/>
          </w:rPr>
          <w:t>1.0</w:t>
        </w:r>
        <w:r w:rsidR="005B4ADD" w:rsidRPr="001D53B3">
          <w:rPr>
            <w:rFonts w:ascii="Arial" w:eastAsiaTheme="minorEastAsia" w:hAnsi="Arial" w:cs="Arial"/>
            <w:b/>
            <w:bCs/>
            <w:noProof/>
            <w:kern w:val="2"/>
            <w:sz w:val="28"/>
            <w:szCs w:val="28"/>
            <w:lang w:val="en-US"/>
            <w14:ligatures w14:val="standardContextual"/>
          </w:rPr>
          <w:tab/>
        </w:r>
        <w:r w:rsidR="005B4ADD" w:rsidRPr="001D53B3">
          <w:rPr>
            <w:rStyle w:val="Hyperlink"/>
            <w:rFonts w:ascii="Arial" w:hAnsi="Arial" w:cs="Arial"/>
            <w:b/>
            <w:bCs/>
            <w:noProof/>
            <w:sz w:val="28"/>
            <w:szCs w:val="28"/>
          </w:rPr>
          <w:t>PURPOSE</w:t>
        </w:r>
        <w:r w:rsidR="005B4ADD" w:rsidRPr="001D53B3">
          <w:rPr>
            <w:rFonts w:ascii="Arial" w:hAnsi="Arial" w:cs="Arial"/>
            <w:b/>
            <w:bCs/>
            <w:noProof/>
            <w:webHidden/>
            <w:sz w:val="28"/>
            <w:szCs w:val="28"/>
          </w:rPr>
          <w:tab/>
        </w:r>
        <w:r w:rsidR="005B4ADD" w:rsidRPr="001D53B3">
          <w:rPr>
            <w:rFonts w:ascii="Arial" w:hAnsi="Arial" w:cs="Arial"/>
            <w:b/>
            <w:bCs/>
            <w:noProof/>
            <w:webHidden/>
            <w:sz w:val="28"/>
            <w:szCs w:val="28"/>
          </w:rPr>
          <w:fldChar w:fldCharType="begin"/>
        </w:r>
        <w:r w:rsidR="005B4ADD" w:rsidRPr="001D53B3">
          <w:rPr>
            <w:rFonts w:ascii="Arial" w:hAnsi="Arial" w:cs="Arial"/>
            <w:b/>
            <w:bCs/>
            <w:noProof/>
            <w:webHidden/>
            <w:sz w:val="28"/>
            <w:szCs w:val="28"/>
          </w:rPr>
          <w:instrText xml:space="preserve"> PAGEREF _Toc195617891 \h </w:instrText>
        </w:r>
        <w:r w:rsidR="005B4ADD" w:rsidRPr="001D53B3">
          <w:rPr>
            <w:rFonts w:ascii="Arial" w:hAnsi="Arial" w:cs="Arial"/>
            <w:b/>
            <w:bCs/>
            <w:noProof/>
            <w:webHidden/>
            <w:sz w:val="28"/>
            <w:szCs w:val="28"/>
          </w:rPr>
        </w:r>
        <w:r w:rsidR="005B4ADD" w:rsidRPr="001D53B3">
          <w:rPr>
            <w:rFonts w:ascii="Arial" w:hAnsi="Arial" w:cs="Arial"/>
            <w:b/>
            <w:bCs/>
            <w:noProof/>
            <w:webHidden/>
            <w:sz w:val="28"/>
            <w:szCs w:val="28"/>
          </w:rPr>
          <w:fldChar w:fldCharType="separate"/>
        </w:r>
        <w:r w:rsidR="00741830">
          <w:rPr>
            <w:rFonts w:ascii="Arial" w:hAnsi="Arial" w:cs="Arial"/>
            <w:b/>
            <w:bCs/>
            <w:noProof/>
            <w:webHidden/>
            <w:sz w:val="28"/>
            <w:szCs w:val="28"/>
          </w:rPr>
          <w:t>4</w:t>
        </w:r>
        <w:r w:rsidR="005B4ADD" w:rsidRPr="001D53B3">
          <w:rPr>
            <w:rFonts w:ascii="Arial" w:hAnsi="Arial" w:cs="Arial"/>
            <w:b/>
            <w:bCs/>
            <w:noProof/>
            <w:webHidden/>
            <w:sz w:val="28"/>
            <w:szCs w:val="28"/>
          </w:rPr>
          <w:fldChar w:fldCharType="end"/>
        </w:r>
      </w:hyperlink>
    </w:p>
    <w:p w14:paraId="1FE214C8" w14:textId="77777777" w:rsidR="0067445C" w:rsidRPr="001D53B3" w:rsidRDefault="0067445C" w:rsidP="0067445C">
      <w:pPr>
        <w:rPr>
          <w:rFonts w:ascii="Arial" w:eastAsiaTheme="minorEastAsia" w:hAnsi="Arial" w:cs="Arial"/>
          <w:noProof/>
          <w:sz w:val="28"/>
          <w:szCs w:val="28"/>
        </w:rPr>
      </w:pPr>
    </w:p>
    <w:p w14:paraId="606EC7C5" w14:textId="3736C2B3" w:rsidR="005B4ADD" w:rsidRPr="001D53B3" w:rsidRDefault="005B4ADD">
      <w:pPr>
        <w:pStyle w:val="TOC2"/>
        <w:tabs>
          <w:tab w:val="left" w:pos="720"/>
          <w:tab w:val="right" w:leader="dot" w:pos="9628"/>
        </w:tabs>
        <w:rPr>
          <w:rFonts w:ascii="Arial" w:hAnsi="Arial" w:cs="Arial"/>
          <w:b/>
          <w:bCs/>
          <w:noProof/>
          <w:sz w:val="28"/>
          <w:szCs w:val="28"/>
        </w:rPr>
      </w:pPr>
      <w:hyperlink w:anchor="_Toc195617892" w:history="1">
        <w:r w:rsidRPr="001D53B3">
          <w:rPr>
            <w:rStyle w:val="Hyperlink"/>
            <w:rFonts w:ascii="Arial" w:hAnsi="Arial" w:cs="Arial"/>
            <w:b/>
            <w:bCs/>
            <w:noProof/>
            <w:sz w:val="28"/>
            <w:szCs w:val="28"/>
          </w:rPr>
          <w:t>2.0</w:t>
        </w:r>
        <w:r w:rsidRPr="001D53B3">
          <w:rPr>
            <w:rFonts w:ascii="Arial" w:eastAsiaTheme="minorEastAsia" w:hAnsi="Arial" w:cs="Arial"/>
            <w:b/>
            <w:bCs/>
            <w:noProof/>
            <w:kern w:val="2"/>
            <w:sz w:val="28"/>
            <w:szCs w:val="28"/>
            <w:lang w:val="en-US"/>
            <w14:ligatures w14:val="standardContextual"/>
          </w:rPr>
          <w:tab/>
        </w:r>
        <w:r w:rsidRPr="001D53B3">
          <w:rPr>
            <w:rStyle w:val="Hyperlink"/>
            <w:rFonts w:ascii="Arial" w:hAnsi="Arial" w:cs="Arial"/>
            <w:b/>
            <w:bCs/>
            <w:noProof/>
            <w:sz w:val="28"/>
            <w:szCs w:val="28"/>
          </w:rPr>
          <w:t>CONTRACT TYPES</w:t>
        </w:r>
        <w:r w:rsidRPr="001D53B3">
          <w:rPr>
            <w:rFonts w:ascii="Arial" w:hAnsi="Arial" w:cs="Arial"/>
            <w:b/>
            <w:bCs/>
            <w:noProof/>
            <w:webHidden/>
            <w:sz w:val="28"/>
            <w:szCs w:val="28"/>
          </w:rPr>
          <w:tab/>
        </w:r>
        <w:r w:rsidRPr="001D53B3">
          <w:rPr>
            <w:rFonts w:ascii="Arial" w:hAnsi="Arial" w:cs="Arial"/>
            <w:b/>
            <w:bCs/>
            <w:noProof/>
            <w:webHidden/>
            <w:sz w:val="28"/>
            <w:szCs w:val="28"/>
          </w:rPr>
          <w:fldChar w:fldCharType="begin"/>
        </w:r>
        <w:r w:rsidRPr="001D53B3">
          <w:rPr>
            <w:rFonts w:ascii="Arial" w:hAnsi="Arial" w:cs="Arial"/>
            <w:b/>
            <w:bCs/>
            <w:noProof/>
            <w:webHidden/>
            <w:sz w:val="28"/>
            <w:szCs w:val="28"/>
          </w:rPr>
          <w:instrText xml:space="preserve"> PAGEREF _Toc195617892 \h </w:instrText>
        </w:r>
        <w:r w:rsidRPr="001D53B3">
          <w:rPr>
            <w:rFonts w:ascii="Arial" w:hAnsi="Arial" w:cs="Arial"/>
            <w:b/>
            <w:bCs/>
            <w:noProof/>
            <w:webHidden/>
            <w:sz w:val="28"/>
            <w:szCs w:val="28"/>
          </w:rPr>
        </w:r>
        <w:r w:rsidRPr="001D53B3">
          <w:rPr>
            <w:rFonts w:ascii="Arial" w:hAnsi="Arial" w:cs="Arial"/>
            <w:b/>
            <w:bCs/>
            <w:noProof/>
            <w:webHidden/>
            <w:sz w:val="28"/>
            <w:szCs w:val="28"/>
          </w:rPr>
          <w:fldChar w:fldCharType="separate"/>
        </w:r>
        <w:r w:rsidR="00741830">
          <w:rPr>
            <w:rFonts w:ascii="Arial" w:hAnsi="Arial" w:cs="Arial"/>
            <w:b/>
            <w:bCs/>
            <w:noProof/>
            <w:webHidden/>
            <w:sz w:val="28"/>
            <w:szCs w:val="28"/>
          </w:rPr>
          <w:t>5</w:t>
        </w:r>
        <w:r w:rsidRPr="001D53B3">
          <w:rPr>
            <w:rFonts w:ascii="Arial" w:hAnsi="Arial" w:cs="Arial"/>
            <w:b/>
            <w:bCs/>
            <w:noProof/>
            <w:webHidden/>
            <w:sz w:val="28"/>
            <w:szCs w:val="28"/>
          </w:rPr>
          <w:fldChar w:fldCharType="end"/>
        </w:r>
      </w:hyperlink>
    </w:p>
    <w:p w14:paraId="2ECCFE17" w14:textId="77777777" w:rsidR="0067445C" w:rsidRPr="001D53B3" w:rsidRDefault="0067445C" w:rsidP="0067445C">
      <w:pPr>
        <w:rPr>
          <w:rFonts w:ascii="Arial" w:eastAsiaTheme="minorEastAsia" w:hAnsi="Arial" w:cs="Arial"/>
          <w:noProof/>
          <w:sz w:val="28"/>
          <w:szCs w:val="28"/>
        </w:rPr>
      </w:pPr>
    </w:p>
    <w:p w14:paraId="3C29ED55" w14:textId="16343700" w:rsidR="005B4ADD" w:rsidRPr="001D53B3" w:rsidRDefault="005B4ADD" w:rsidP="00332F6B">
      <w:pPr>
        <w:pStyle w:val="TOC2"/>
        <w:tabs>
          <w:tab w:val="left" w:pos="720"/>
          <w:tab w:val="right" w:leader="dot" w:pos="9628"/>
        </w:tabs>
        <w:rPr>
          <w:rFonts w:ascii="Arial" w:hAnsi="Arial" w:cs="Arial"/>
          <w:b/>
          <w:bCs/>
          <w:noProof/>
          <w:sz w:val="28"/>
          <w:szCs w:val="28"/>
        </w:rPr>
      </w:pPr>
      <w:hyperlink w:anchor="_Toc195617893" w:history="1">
        <w:r w:rsidRPr="001D53B3">
          <w:rPr>
            <w:rStyle w:val="Hyperlink"/>
            <w:rFonts w:ascii="Arial" w:hAnsi="Arial" w:cs="Arial"/>
            <w:b/>
            <w:bCs/>
            <w:noProof/>
            <w:sz w:val="28"/>
            <w:szCs w:val="28"/>
          </w:rPr>
          <w:t>3.0</w:t>
        </w:r>
        <w:r w:rsidRPr="001D53B3">
          <w:rPr>
            <w:rFonts w:ascii="Arial" w:eastAsiaTheme="minorEastAsia" w:hAnsi="Arial" w:cs="Arial"/>
            <w:b/>
            <w:bCs/>
            <w:noProof/>
            <w:kern w:val="2"/>
            <w:sz w:val="28"/>
            <w:szCs w:val="28"/>
            <w:lang w:val="en-US"/>
            <w14:ligatures w14:val="standardContextual"/>
          </w:rPr>
          <w:tab/>
        </w:r>
        <w:r w:rsidRPr="001D53B3">
          <w:rPr>
            <w:rStyle w:val="Hyperlink"/>
            <w:rFonts w:ascii="Arial" w:hAnsi="Arial" w:cs="Arial"/>
            <w:b/>
            <w:bCs/>
            <w:noProof/>
            <w:sz w:val="28"/>
            <w:szCs w:val="28"/>
          </w:rPr>
          <w:t>CONTRACTING OPTIONS</w:t>
        </w:r>
        <w:r w:rsidRPr="001D53B3">
          <w:rPr>
            <w:rFonts w:ascii="Arial" w:hAnsi="Arial" w:cs="Arial"/>
            <w:b/>
            <w:bCs/>
            <w:noProof/>
            <w:webHidden/>
            <w:sz w:val="28"/>
            <w:szCs w:val="28"/>
          </w:rPr>
          <w:tab/>
        </w:r>
        <w:r w:rsidRPr="001D53B3">
          <w:rPr>
            <w:rFonts w:ascii="Arial" w:hAnsi="Arial" w:cs="Arial"/>
            <w:b/>
            <w:bCs/>
            <w:noProof/>
            <w:webHidden/>
            <w:sz w:val="28"/>
            <w:szCs w:val="28"/>
          </w:rPr>
          <w:fldChar w:fldCharType="begin"/>
        </w:r>
        <w:r w:rsidRPr="001D53B3">
          <w:rPr>
            <w:rFonts w:ascii="Arial" w:hAnsi="Arial" w:cs="Arial"/>
            <w:b/>
            <w:bCs/>
            <w:noProof/>
            <w:webHidden/>
            <w:sz w:val="28"/>
            <w:szCs w:val="28"/>
          </w:rPr>
          <w:instrText xml:space="preserve"> PAGEREF _Toc195617893 \h </w:instrText>
        </w:r>
        <w:r w:rsidRPr="001D53B3">
          <w:rPr>
            <w:rFonts w:ascii="Arial" w:hAnsi="Arial" w:cs="Arial"/>
            <w:b/>
            <w:bCs/>
            <w:noProof/>
            <w:webHidden/>
            <w:sz w:val="28"/>
            <w:szCs w:val="28"/>
          </w:rPr>
        </w:r>
        <w:r w:rsidRPr="001D53B3">
          <w:rPr>
            <w:rFonts w:ascii="Arial" w:hAnsi="Arial" w:cs="Arial"/>
            <w:b/>
            <w:bCs/>
            <w:noProof/>
            <w:webHidden/>
            <w:sz w:val="28"/>
            <w:szCs w:val="28"/>
          </w:rPr>
          <w:fldChar w:fldCharType="separate"/>
        </w:r>
        <w:r w:rsidR="00741830">
          <w:rPr>
            <w:rFonts w:ascii="Arial" w:hAnsi="Arial" w:cs="Arial"/>
            <w:b/>
            <w:bCs/>
            <w:noProof/>
            <w:webHidden/>
            <w:sz w:val="28"/>
            <w:szCs w:val="28"/>
          </w:rPr>
          <w:t>6</w:t>
        </w:r>
        <w:r w:rsidRPr="001D53B3">
          <w:rPr>
            <w:rFonts w:ascii="Arial" w:hAnsi="Arial" w:cs="Arial"/>
            <w:b/>
            <w:bCs/>
            <w:noProof/>
            <w:webHidden/>
            <w:sz w:val="28"/>
            <w:szCs w:val="28"/>
          </w:rPr>
          <w:fldChar w:fldCharType="end"/>
        </w:r>
      </w:hyperlink>
    </w:p>
    <w:p w14:paraId="42FEB059" w14:textId="77777777" w:rsidR="0067445C" w:rsidRPr="001D53B3" w:rsidRDefault="0067445C" w:rsidP="0067445C">
      <w:pPr>
        <w:rPr>
          <w:rFonts w:ascii="Arial" w:eastAsiaTheme="minorEastAsia" w:hAnsi="Arial" w:cs="Arial"/>
          <w:noProof/>
          <w:sz w:val="28"/>
          <w:szCs w:val="28"/>
        </w:rPr>
      </w:pPr>
    </w:p>
    <w:p w14:paraId="2F82B7D0" w14:textId="560ACE70" w:rsidR="005B4ADD" w:rsidRPr="001D53B3" w:rsidRDefault="00332F6B">
      <w:pPr>
        <w:pStyle w:val="TOC2"/>
        <w:tabs>
          <w:tab w:val="left" w:pos="720"/>
          <w:tab w:val="right" w:leader="dot" w:pos="9628"/>
        </w:tabs>
        <w:rPr>
          <w:rFonts w:ascii="Arial" w:hAnsi="Arial" w:cs="Arial"/>
          <w:b/>
          <w:bCs/>
          <w:noProof/>
          <w:sz w:val="28"/>
          <w:szCs w:val="28"/>
        </w:rPr>
      </w:pPr>
      <w:hyperlink w:anchor="_Toc195617895" w:history="1">
        <w:r>
          <w:rPr>
            <w:rStyle w:val="Hyperlink"/>
            <w:rFonts w:ascii="Arial" w:hAnsi="Arial" w:cs="Arial"/>
            <w:b/>
            <w:bCs/>
            <w:noProof/>
            <w:sz w:val="28"/>
            <w:szCs w:val="28"/>
          </w:rPr>
          <w:t>4</w:t>
        </w:r>
        <w:r w:rsidR="005B4ADD" w:rsidRPr="001D53B3">
          <w:rPr>
            <w:rStyle w:val="Hyperlink"/>
            <w:rFonts w:ascii="Arial" w:hAnsi="Arial" w:cs="Arial"/>
            <w:b/>
            <w:bCs/>
            <w:noProof/>
            <w:sz w:val="28"/>
            <w:szCs w:val="28"/>
          </w:rPr>
          <w:t>.0</w:t>
        </w:r>
        <w:r w:rsidR="005B4ADD" w:rsidRPr="001D53B3">
          <w:rPr>
            <w:rFonts w:ascii="Arial" w:eastAsiaTheme="minorEastAsia" w:hAnsi="Arial" w:cs="Arial"/>
            <w:b/>
            <w:bCs/>
            <w:noProof/>
            <w:kern w:val="2"/>
            <w:sz w:val="28"/>
            <w:szCs w:val="28"/>
            <w:lang w:val="en-US"/>
            <w14:ligatures w14:val="standardContextual"/>
          </w:rPr>
          <w:tab/>
        </w:r>
        <w:r w:rsidR="005B4ADD" w:rsidRPr="001D53B3">
          <w:rPr>
            <w:rStyle w:val="Hyperlink"/>
            <w:rFonts w:ascii="Arial" w:hAnsi="Arial" w:cs="Arial"/>
            <w:b/>
            <w:bCs/>
            <w:noProof/>
            <w:sz w:val="28"/>
            <w:szCs w:val="28"/>
          </w:rPr>
          <w:t>METHODS OF COMPENSATION</w:t>
        </w:r>
        <w:r w:rsidR="005B4ADD" w:rsidRPr="001D53B3">
          <w:rPr>
            <w:rFonts w:ascii="Arial" w:hAnsi="Arial" w:cs="Arial"/>
            <w:b/>
            <w:bCs/>
            <w:noProof/>
            <w:webHidden/>
            <w:sz w:val="28"/>
            <w:szCs w:val="28"/>
          </w:rPr>
          <w:tab/>
        </w:r>
        <w:r w:rsidR="005B4ADD" w:rsidRPr="001D53B3">
          <w:rPr>
            <w:rFonts w:ascii="Arial" w:hAnsi="Arial" w:cs="Arial"/>
            <w:b/>
            <w:bCs/>
            <w:noProof/>
            <w:webHidden/>
            <w:sz w:val="28"/>
            <w:szCs w:val="28"/>
          </w:rPr>
          <w:fldChar w:fldCharType="begin"/>
        </w:r>
        <w:r w:rsidR="005B4ADD" w:rsidRPr="001D53B3">
          <w:rPr>
            <w:rFonts w:ascii="Arial" w:hAnsi="Arial" w:cs="Arial"/>
            <w:b/>
            <w:bCs/>
            <w:noProof/>
            <w:webHidden/>
            <w:sz w:val="28"/>
            <w:szCs w:val="28"/>
          </w:rPr>
          <w:instrText xml:space="preserve"> PAGEREF _Toc195617895 \h </w:instrText>
        </w:r>
        <w:r w:rsidR="005B4ADD" w:rsidRPr="001D53B3">
          <w:rPr>
            <w:rFonts w:ascii="Arial" w:hAnsi="Arial" w:cs="Arial"/>
            <w:b/>
            <w:bCs/>
            <w:noProof/>
            <w:webHidden/>
            <w:sz w:val="28"/>
            <w:szCs w:val="28"/>
          </w:rPr>
        </w:r>
        <w:r w:rsidR="005B4ADD" w:rsidRPr="001D53B3">
          <w:rPr>
            <w:rFonts w:ascii="Arial" w:hAnsi="Arial" w:cs="Arial"/>
            <w:b/>
            <w:bCs/>
            <w:noProof/>
            <w:webHidden/>
            <w:sz w:val="28"/>
            <w:szCs w:val="28"/>
          </w:rPr>
          <w:fldChar w:fldCharType="separate"/>
        </w:r>
        <w:r w:rsidR="00741830">
          <w:rPr>
            <w:rFonts w:ascii="Arial" w:hAnsi="Arial" w:cs="Arial"/>
            <w:b/>
            <w:bCs/>
            <w:noProof/>
            <w:webHidden/>
            <w:sz w:val="28"/>
            <w:szCs w:val="28"/>
          </w:rPr>
          <w:t>9</w:t>
        </w:r>
        <w:r w:rsidR="005B4ADD" w:rsidRPr="001D53B3">
          <w:rPr>
            <w:rFonts w:ascii="Arial" w:hAnsi="Arial" w:cs="Arial"/>
            <w:b/>
            <w:bCs/>
            <w:noProof/>
            <w:webHidden/>
            <w:sz w:val="28"/>
            <w:szCs w:val="28"/>
          </w:rPr>
          <w:fldChar w:fldCharType="end"/>
        </w:r>
      </w:hyperlink>
    </w:p>
    <w:p w14:paraId="48208F59" w14:textId="77777777" w:rsidR="0067445C" w:rsidRPr="001D53B3" w:rsidRDefault="0067445C" w:rsidP="0067445C">
      <w:pPr>
        <w:rPr>
          <w:rFonts w:ascii="Arial" w:eastAsiaTheme="minorEastAsia" w:hAnsi="Arial" w:cs="Arial"/>
          <w:noProof/>
          <w:sz w:val="28"/>
          <w:szCs w:val="28"/>
        </w:rPr>
      </w:pPr>
    </w:p>
    <w:p w14:paraId="44D2698C" w14:textId="198D7629" w:rsidR="005B4ADD" w:rsidRPr="001D53B3" w:rsidRDefault="00332F6B">
      <w:pPr>
        <w:pStyle w:val="TOC2"/>
        <w:tabs>
          <w:tab w:val="right" w:leader="dot" w:pos="9628"/>
        </w:tabs>
        <w:rPr>
          <w:rFonts w:ascii="Arial" w:eastAsiaTheme="minorEastAsia" w:hAnsi="Arial" w:cs="Arial"/>
          <w:b/>
          <w:bCs/>
          <w:noProof/>
          <w:kern w:val="2"/>
          <w:sz w:val="28"/>
          <w:szCs w:val="28"/>
          <w:lang w:val="en-US"/>
          <w14:ligatures w14:val="standardContextual"/>
        </w:rPr>
      </w:pPr>
      <w:hyperlink w:anchor="_Toc195617896" w:history="1">
        <w:r>
          <w:rPr>
            <w:rStyle w:val="Hyperlink"/>
            <w:rFonts w:ascii="Arial" w:hAnsi="Arial" w:cs="Arial"/>
            <w:b/>
            <w:bCs/>
            <w:noProof/>
            <w:sz w:val="28"/>
            <w:szCs w:val="28"/>
          </w:rPr>
          <w:t>5</w:t>
        </w:r>
        <w:r w:rsidR="005B4ADD" w:rsidRPr="001D53B3">
          <w:rPr>
            <w:rStyle w:val="Hyperlink"/>
            <w:rFonts w:ascii="Arial" w:hAnsi="Arial" w:cs="Arial"/>
            <w:b/>
            <w:bCs/>
            <w:noProof/>
            <w:sz w:val="28"/>
            <w:szCs w:val="28"/>
          </w:rPr>
          <w:t>.0 ASSESSMENT OF CONTRACTUAL RISK</w:t>
        </w:r>
        <w:r w:rsidR="005B4ADD" w:rsidRPr="001D53B3">
          <w:rPr>
            <w:rFonts w:ascii="Arial" w:hAnsi="Arial" w:cs="Arial"/>
            <w:b/>
            <w:bCs/>
            <w:noProof/>
            <w:webHidden/>
            <w:sz w:val="28"/>
            <w:szCs w:val="28"/>
          </w:rPr>
          <w:tab/>
        </w:r>
        <w:r w:rsidR="005B4ADD" w:rsidRPr="001D53B3">
          <w:rPr>
            <w:rFonts w:ascii="Arial" w:hAnsi="Arial" w:cs="Arial"/>
            <w:b/>
            <w:bCs/>
            <w:noProof/>
            <w:webHidden/>
            <w:sz w:val="28"/>
            <w:szCs w:val="28"/>
          </w:rPr>
          <w:fldChar w:fldCharType="begin"/>
        </w:r>
        <w:r w:rsidR="005B4ADD" w:rsidRPr="001D53B3">
          <w:rPr>
            <w:rFonts w:ascii="Arial" w:hAnsi="Arial" w:cs="Arial"/>
            <w:b/>
            <w:bCs/>
            <w:noProof/>
            <w:webHidden/>
            <w:sz w:val="28"/>
            <w:szCs w:val="28"/>
          </w:rPr>
          <w:instrText xml:space="preserve"> PAGEREF _Toc195617896 \h </w:instrText>
        </w:r>
        <w:r w:rsidR="005B4ADD" w:rsidRPr="001D53B3">
          <w:rPr>
            <w:rFonts w:ascii="Arial" w:hAnsi="Arial" w:cs="Arial"/>
            <w:b/>
            <w:bCs/>
            <w:noProof/>
            <w:webHidden/>
            <w:sz w:val="28"/>
            <w:szCs w:val="28"/>
          </w:rPr>
        </w:r>
        <w:r w:rsidR="005B4ADD" w:rsidRPr="001D53B3">
          <w:rPr>
            <w:rFonts w:ascii="Arial" w:hAnsi="Arial" w:cs="Arial"/>
            <w:b/>
            <w:bCs/>
            <w:noProof/>
            <w:webHidden/>
            <w:sz w:val="28"/>
            <w:szCs w:val="28"/>
          </w:rPr>
          <w:fldChar w:fldCharType="separate"/>
        </w:r>
        <w:r w:rsidR="00741830">
          <w:rPr>
            <w:rFonts w:ascii="Arial" w:hAnsi="Arial" w:cs="Arial"/>
            <w:b/>
            <w:bCs/>
            <w:noProof/>
            <w:webHidden/>
            <w:sz w:val="28"/>
            <w:szCs w:val="28"/>
          </w:rPr>
          <w:t>13</w:t>
        </w:r>
        <w:r w:rsidR="005B4ADD" w:rsidRPr="001D53B3">
          <w:rPr>
            <w:rFonts w:ascii="Arial" w:hAnsi="Arial" w:cs="Arial"/>
            <w:b/>
            <w:bCs/>
            <w:noProof/>
            <w:webHidden/>
            <w:sz w:val="28"/>
            <w:szCs w:val="28"/>
          </w:rPr>
          <w:fldChar w:fldCharType="end"/>
        </w:r>
      </w:hyperlink>
    </w:p>
    <w:p w14:paraId="7D059572" w14:textId="57280888" w:rsidR="00A46BA5" w:rsidRPr="0067445C" w:rsidRDefault="00F61ED8" w:rsidP="005B4ADD">
      <w:pPr>
        <w:rPr>
          <w:rFonts w:ascii="Arial" w:hAnsi="Arial" w:cs="Arial"/>
          <w:b/>
          <w:bCs/>
          <w:sz w:val="32"/>
          <w:szCs w:val="32"/>
        </w:rPr>
        <w:sectPr w:rsidR="00A46BA5" w:rsidRPr="0067445C" w:rsidSect="00A46BA5">
          <w:headerReference w:type="default" r:id="rId10"/>
          <w:footerReference w:type="default" r:id="rId11"/>
          <w:pgSz w:w="11906" w:h="16838" w:code="9"/>
          <w:pgMar w:top="1134" w:right="1134" w:bottom="1661" w:left="1134" w:header="720" w:footer="720" w:gutter="0"/>
          <w:cols w:space="720"/>
        </w:sectPr>
      </w:pPr>
      <w:r w:rsidRPr="001D53B3">
        <w:rPr>
          <w:rFonts w:ascii="Arial" w:eastAsia="Arial" w:hAnsi="Arial" w:cs="Arial"/>
          <w:b/>
          <w:bCs/>
          <w:noProof/>
          <w:kern w:val="28"/>
          <w:sz w:val="32"/>
          <w:szCs w:val="32"/>
        </w:rPr>
        <w:fldChar w:fldCharType="end"/>
      </w:r>
    </w:p>
    <w:p w14:paraId="5FD53A3E" w14:textId="77777777" w:rsidR="00A46BA5" w:rsidRPr="001D53B3" w:rsidRDefault="00A46BA5" w:rsidP="0067445C">
      <w:pPr>
        <w:pStyle w:val="Heading2"/>
        <w:spacing w:before="0"/>
        <w:rPr>
          <w:rFonts w:ascii="Arial" w:hAnsi="Arial" w:cs="Arial"/>
          <w:b/>
          <w:bCs/>
          <w:color w:val="auto"/>
        </w:rPr>
      </w:pPr>
      <w:bookmarkStart w:id="1" w:name="_Toc195617891"/>
      <w:r w:rsidRPr="001D53B3">
        <w:rPr>
          <w:rFonts w:ascii="Arial" w:hAnsi="Arial" w:cs="Arial"/>
          <w:b/>
          <w:bCs/>
          <w:color w:val="auto"/>
        </w:rPr>
        <w:lastRenderedPageBreak/>
        <w:t>1.0</w:t>
      </w:r>
      <w:r w:rsidRPr="001D53B3">
        <w:rPr>
          <w:rFonts w:ascii="Arial" w:hAnsi="Arial" w:cs="Arial"/>
          <w:b/>
          <w:bCs/>
          <w:color w:val="auto"/>
        </w:rPr>
        <w:tab/>
        <w:t>PURPOSE</w:t>
      </w:r>
      <w:bookmarkEnd w:id="1"/>
    </w:p>
    <w:p w14:paraId="12285829" w14:textId="77777777" w:rsidR="00A46BA5" w:rsidRDefault="00A46BA5" w:rsidP="00A46BA5">
      <w:pPr>
        <w:ind w:left="851" w:hanging="851"/>
        <w:rPr>
          <w:rFonts w:ascii="Arial" w:hAnsi="Arial"/>
          <w:b/>
          <w:sz w:val="24"/>
        </w:rPr>
      </w:pPr>
    </w:p>
    <w:p w14:paraId="30CAC522" w14:textId="77777777" w:rsidR="00A46BA5" w:rsidRDefault="00A46BA5" w:rsidP="00A46BA5">
      <w:pPr>
        <w:tabs>
          <w:tab w:val="left" w:pos="5933"/>
        </w:tabs>
        <w:ind w:left="851" w:hanging="851"/>
        <w:jc w:val="both"/>
        <w:rPr>
          <w:rFonts w:ascii="Arial" w:hAnsi="Arial"/>
          <w:sz w:val="24"/>
        </w:rPr>
      </w:pPr>
      <w:r>
        <w:rPr>
          <w:rFonts w:ascii="Arial" w:hAnsi="Arial"/>
          <w:b/>
          <w:sz w:val="24"/>
        </w:rPr>
        <w:tab/>
      </w:r>
      <w:r>
        <w:rPr>
          <w:rFonts w:ascii="Arial" w:hAnsi="Arial"/>
          <w:sz w:val="24"/>
        </w:rPr>
        <w:t xml:space="preserve">The purpose of this procedure is to assist in the development the appropriate contracting strategy for high value contracts, or those identified as presenting significant safety, environmental or business risks to the Company. The criteria considered for strategy selection will include value, technical complexity and operational criticality. </w:t>
      </w:r>
    </w:p>
    <w:p w14:paraId="6DF97194" w14:textId="77777777" w:rsidR="00A46BA5" w:rsidRDefault="00A46BA5" w:rsidP="00A46BA5">
      <w:pPr>
        <w:tabs>
          <w:tab w:val="left" w:pos="5933"/>
        </w:tabs>
        <w:ind w:left="851" w:hanging="851"/>
        <w:jc w:val="both"/>
        <w:rPr>
          <w:rFonts w:ascii="Arial" w:hAnsi="Arial"/>
          <w:sz w:val="24"/>
        </w:rPr>
      </w:pPr>
    </w:p>
    <w:p w14:paraId="15873EDE" w14:textId="343D26D1" w:rsidR="00A46BA5" w:rsidRDefault="00A46BA5" w:rsidP="00A46BA5">
      <w:pPr>
        <w:tabs>
          <w:tab w:val="left" w:pos="5933"/>
        </w:tabs>
        <w:ind w:left="851" w:hanging="851"/>
        <w:jc w:val="both"/>
        <w:rPr>
          <w:rFonts w:ascii="Arial" w:hAnsi="Arial"/>
          <w:sz w:val="24"/>
        </w:rPr>
      </w:pPr>
      <w:r>
        <w:rPr>
          <w:rFonts w:ascii="Arial" w:hAnsi="Arial"/>
          <w:sz w:val="24"/>
        </w:rPr>
        <w:tab/>
        <w:t>The</w:t>
      </w:r>
      <w:r>
        <w:rPr>
          <w:rFonts w:ascii="Arial" w:hAnsi="Arial"/>
          <w:color w:val="0000FF"/>
          <w:sz w:val="24"/>
        </w:rPr>
        <w:t xml:space="preserve"> </w:t>
      </w:r>
      <w:r>
        <w:rPr>
          <w:rFonts w:ascii="Arial" w:hAnsi="Arial"/>
          <w:sz w:val="24"/>
        </w:rPr>
        <w:t>Contract Owner shall be responsible for developing individual contract strategies</w:t>
      </w:r>
      <w:r>
        <w:rPr>
          <w:rFonts w:ascii="Arial" w:hAnsi="Arial"/>
          <w:color w:val="0000FF"/>
          <w:sz w:val="24"/>
        </w:rPr>
        <w:t xml:space="preserve"> </w:t>
      </w:r>
      <w:r>
        <w:rPr>
          <w:rFonts w:ascii="Arial" w:hAnsi="Arial"/>
          <w:sz w:val="24"/>
        </w:rPr>
        <w:t>to ensure that:</w:t>
      </w:r>
    </w:p>
    <w:p w14:paraId="0083871F" w14:textId="77777777" w:rsidR="00A46BA5" w:rsidRDefault="00A46BA5" w:rsidP="00A46BA5">
      <w:pPr>
        <w:tabs>
          <w:tab w:val="left" w:pos="5933"/>
        </w:tabs>
        <w:ind w:left="851" w:hanging="851"/>
        <w:jc w:val="both"/>
        <w:rPr>
          <w:rFonts w:ascii="Arial" w:hAnsi="Arial"/>
          <w:sz w:val="24"/>
        </w:rPr>
      </w:pPr>
    </w:p>
    <w:p w14:paraId="50E353C7" w14:textId="77777777" w:rsidR="00A46BA5" w:rsidRDefault="00A46BA5" w:rsidP="00A46BA5">
      <w:pPr>
        <w:tabs>
          <w:tab w:val="left" w:pos="-709"/>
        </w:tabs>
        <w:ind w:left="1701" w:hanging="851"/>
        <w:jc w:val="both"/>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 xml:space="preserve">) </w:t>
      </w:r>
      <w:r>
        <w:rPr>
          <w:rFonts w:ascii="Arial" w:hAnsi="Arial"/>
          <w:sz w:val="24"/>
        </w:rPr>
        <w:tab/>
        <w:t>contracts are tendered, evaluated and awarded in accordance with the Company’s Business Ethics Policy and Tendering Procedures</w:t>
      </w:r>
    </w:p>
    <w:p w14:paraId="3C11D6E1" w14:textId="77777777" w:rsidR="00A46BA5" w:rsidRDefault="00A46BA5" w:rsidP="00A46BA5">
      <w:pPr>
        <w:tabs>
          <w:tab w:val="left" w:pos="-709"/>
        </w:tabs>
        <w:ind w:left="1701" w:hanging="851"/>
        <w:jc w:val="both"/>
        <w:rPr>
          <w:rFonts w:ascii="Arial" w:hAnsi="Arial"/>
          <w:sz w:val="24"/>
        </w:rPr>
      </w:pPr>
    </w:p>
    <w:p w14:paraId="136D5606" w14:textId="1C57EF66" w:rsidR="00A46BA5" w:rsidRDefault="00A46BA5" w:rsidP="00A46BA5">
      <w:pPr>
        <w:ind w:left="1701" w:hanging="851"/>
        <w:jc w:val="both"/>
        <w:rPr>
          <w:rFonts w:ascii="Arial" w:hAnsi="Arial"/>
          <w:sz w:val="24"/>
        </w:rPr>
      </w:pPr>
      <w:r>
        <w:rPr>
          <w:rFonts w:ascii="Arial" w:hAnsi="Arial"/>
          <w:sz w:val="24"/>
        </w:rPr>
        <w:t>(ii)</w:t>
      </w:r>
      <w:r>
        <w:rPr>
          <w:rFonts w:ascii="Arial" w:hAnsi="Arial"/>
          <w:sz w:val="24"/>
        </w:rPr>
        <w:tab/>
        <w:t>contracts comply with the tax, currency, data protection</w:t>
      </w:r>
      <w:r w:rsidRPr="008728E8">
        <w:rPr>
          <w:rFonts w:ascii="Arial" w:hAnsi="Arial"/>
          <w:i/>
          <w:sz w:val="24"/>
        </w:rPr>
        <w:t xml:space="preserve">, </w:t>
      </w:r>
      <w:r>
        <w:rPr>
          <w:rFonts w:ascii="Arial" w:hAnsi="Arial"/>
          <w:sz w:val="24"/>
        </w:rPr>
        <w:t xml:space="preserve">and the laws </w:t>
      </w:r>
      <w:r w:rsidR="00826F6A">
        <w:rPr>
          <w:rFonts w:ascii="Arial" w:hAnsi="Arial"/>
          <w:sz w:val="24"/>
        </w:rPr>
        <w:t>in which the contracts are performed.</w:t>
      </w:r>
    </w:p>
    <w:p w14:paraId="6489E750" w14:textId="77777777" w:rsidR="00A46BA5" w:rsidRDefault="00A46BA5" w:rsidP="00A46BA5">
      <w:pPr>
        <w:tabs>
          <w:tab w:val="left" w:pos="-709"/>
        </w:tabs>
        <w:ind w:left="1701" w:hanging="851"/>
        <w:jc w:val="both"/>
        <w:rPr>
          <w:rFonts w:ascii="Arial" w:hAnsi="Arial"/>
          <w:sz w:val="24"/>
        </w:rPr>
      </w:pPr>
    </w:p>
    <w:p w14:paraId="4E1F2C42" w14:textId="79A2456B" w:rsidR="00A46BA5" w:rsidRDefault="00A46BA5" w:rsidP="00826F6A">
      <w:pPr>
        <w:tabs>
          <w:tab w:val="left" w:pos="-709"/>
        </w:tabs>
        <w:ind w:left="1701" w:hanging="851"/>
        <w:jc w:val="both"/>
        <w:rPr>
          <w:rFonts w:ascii="Arial" w:hAnsi="Arial"/>
          <w:sz w:val="24"/>
        </w:rPr>
      </w:pPr>
      <w:r>
        <w:rPr>
          <w:rFonts w:ascii="Arial" w:hAnsi="Arial"/>
          <w:sz w:val="24"/>
        </w:rPr>
        <w:t>(iii)</w:t>
      </w:r>
      <w:r>
        <w:rPr>
          <w:rFonts w:ascii="Arial" w:hAnsi="Arial"/>
          <w:sz w:val="24"/>
        </w:rPr>
        <w:tab/>
        <w:t>works, services and goods are acquired on the most favourable terms and conditions</w:t>
      </w:r>
    </w:p>
    <w:p w14:paraId="0C25BE69" w14:textId="77777777" w:rsidR="00826F6A" w:rsidRDefault="00826F6A" w:rsidP="00826F6A">
      <w:pPr>
        <w:tabs>
          <w:tab w:val="left" w:pos="-709"/>
        </w:tabs>
        <w:ind w:left="1701" w:hanging="851"/>
        <w:jc w:val="both"/>
        <w:rPr>
          <w:rFonts w:ascii="Arial" w:hAnsi="Arial"/>
          <w:sz w:val="24"/>
        </w:rPr>
      </w:pPr>
    </w:p>
    <w:p w14:paraId="1CF1CAFA" w14:textId="77777777" w:rsidR="00A46BA5" w:rsidRDefault="00A46BA5" w:rsidP="00A46BA5">
      <w:pPr>
        <w:tabs>
          <w:tab w:val="left" w:pos="1560"/>
        </w:tabs>
        <w:ind w:left="1560" w:hanging="709"/>
        <w:jc w:val="both"/>
        <w:rPr>
          <w:rFonts w:ascii="Arial" w:hAnsi="Arial"/>
          <w:sz w:val="24"/>
        </w:rPr>
      </w:pPr>
    </w:p>
    <w:p w14:paraId="03049AFC" w14:textId="5F1895C9" w:rsidR="00A46BA5" w:rsidRDefault="00A46BA5" w:rsidP="00A46BA5">
      <w:pPr>
        <w:tabs>
          <w:tab w:val="left" w:pos="5933"/>
        </w:tabs>
        <w:ind w:left="851" w:firstLine="11"/>
        <w:jc w:val="both"/>
        <w:rPr>
          <w:rFonts w:ascii="Arial" w:hAnsi="Arial"/>
          <w:sz w:val="24"/>
        </w:rPr>
      </w:pPr>
      <w:r>
        <w:rPr>
          <w:rFonts w:ascii="Arial" w:hAnsi="Arial"/>
          <w:sz w:val="24"/>
        </w:rPr>
        <w:t>This procedure also offers guidance on contracting options, type of contracts, methods of compensation and assessment of contractual risk.</w:t>
      </w:r>
    </w:p>
    <w:p w14:paraId="62BA77EE" w14:textId="77777777" w:rsidR="00A46BA5" w:rsidRDefault="00A46BA5" w:rsidP="00A46BA5">
      <w:pPr>
        <w:tabs>
          <w:tab w:val="left" w:pos="5933"/>
        </w:tabs>
        <w:ind w:left="851" w:firstLine="11"/>
        <w:jc w:val="both"/>
        <w:rPr>
          <w:rFonts w:ascii="Arial" w:hAnsi="Arial"/>
          <w:sz w:val="24"/>
        </w:rPr>
      </w:pPr>
    </w:p>
    <w:p w14:paraId="2697E31F" w14:textId="4D3723D3" w:rsidR="00A46BA5" w:rsidRDefault="00A46BA5" w:rsidP="00826F6A">
      <w:pPr>
        <w:tabs>
          <w:tab w:val="left" w:pos="5933"/>
        </w:tabs>
        <w:jc w:val="both"/>
        <w:rPr>
          <w:rFonts w:ascii="Arial" w:hAnsi="Arial"/>
          <w:sz w:val="24"/>
        </w:rPr>
      </w:pPr>
      <w:r>
        <w:rPr>
          <w:rFonts w:ascii="Arial" w:hAnsi="Arial"/>
          <w:sz w:val="24"/>
        </w:rPr>
        <w:tab/>
      </w:r>
    </w:p>
    <w:p w14:paraId="2BF0D7D5" w14:textId="77777777" w:rsidR="00A46BA5" w:rsidRDefault="00A46BA5" w:rsidP="00A46BA5">
      <w:pPr>
        <w:tabs>
          <w:tab w:val="left" w:pos="1560"/>
        </w:tabs>
        <w:jc w:val="both"/>
        <w:rPr>
          <w:rFonts w:ascii="Arial" w:hAnsi="Arial"/>
          <w:sz w:val="24"/>
        </w:rPr>
      </w:pPr>
    </w:p>
    <w:p w14:paraId="5194C95D" w14:textId="77777777" w:rsidR="00A46BA5" w:rsidRDefault="00A46BA5" w:rsidP="00A46BA5">
      <w:pPr>
        <w:tabs>
          <w:tab w:val="left" w:pos="1560"/>
        </w:tabs>
        <w:jc w:val="both"/>
        <w:rPr>
          <w:rFonts w:ascii="Arial" w:hAnsi="Arial"/>
          <w:sz w:val="24"/>
        </w:rPr>
      </w:pPr>
    </w:p>
    <w:p w14:paraId="1EEFEEC2" w14:textId="77777777" w:rsidR="007771F8" w:rsidRDefault="007771F8" w:rsidP="00A46BA5">
      <w:pPr>
        <w:tabs>
          <w:tab w:val="left" w:pos="1560"/>
        </w:tabs>
        <w:jc w:val="both"/>
        <w:rPr>
          <w:rFonts w:ascii="Arial" w:hAnsi="Arial"/>
          <w:sz w:val="24"/>
        </w:rPr>
      </w:pPr>
    </w:p>
    <w:p w14:paraId="30541C08" w14:textId="77777777" w:rsidR="007771F8" w:rsidRDefault="007771F8" w:rsidP="00A46BA5">
      <w:pPr>
        <w:tabs>
          <w:tab w:val="left" w:pos="1560"/>
        </w:tabs>
        <w:jc w:val="both"/>
        <w:rPr>
          <w:rFonts w:ascii="Arial" w:hAnsi="Arial"/>
          <w:sz w:val="24"/>
        </w:rPr>
      </w:pPr>
    </w:p>
    <w:p w14:paraId="7675A071" w14:textId="77777777" w:rsidR="007771F8" w:rsidRDefault="007771F8" w:rsidP="00A46BA5">
      <w:pPr>
        <w:tabs>
          <w:tab w:val="left" w:pos="1560"/>
        </w:tabs>
        <w:jc w:val="both"/>
        <w:rPr>
          <w:rFonts w:ascii="Arial" w:hAnsi="Arial"/>
          <w:sz w:val="24"/>
        </w:rPr>
      </w:pPr>
    </w:p>
    <w:p w14:paraId="203B854B" w14:textId="77777777" w:rsidR="007771F8" w:rsidRDefault="007771F8" w:rsidP="00A46BA5">
      <w:pPr>
        <w:tabs>
          <w:tab w:val="left" w:pos="1560"/>
        </w:tabs>
        <w:jc w:val="both"/>
        <w:rPr>
          <w:rFonts w:ascii="Arial" w:hAnsi="Arial"/>
          <w:sz w:val="24"/>
        </w:rPr>
      </w:pPr>
    </w:p>
    <w:p w14:paraId="5DDEBFF6" w14:textId="77777777" w:rsidR="007771F8" w:rsidRDefault="007771F8" w:rsidP="00A46BA5">
      <w:pPr>
        <w:tabs>
          <w:tab w:val="left" w:pos="1560"/>
        </w:tabs>
        <w:jc w:val="both"/>
        <w:rPr>
          <w:rFonts w:ascii="Arial" w:hAnsi="Arial"/>
          <w:sz w:val="24"/>
        </w:rPr>
      </w:pPr>
    </w:p>
    <w:p w14:paraId="646EBAF2" w14:textId="77777777" w:rsidR="007771F8" w:rsidRDefault="007771F8" w:rsidP="00A46BA5">
      <w:pPr>
        <w:tabs>
          <w:tab w:val="left" w:pos="1560"/>
        </w:tabs>
        <w:jc w:val="both"/>
        <w:rPr>
          <w:rFonts w:ascii="Arial" w:hAnsi="Arial"/>
          <w:sz w:val="24"/>
        </w:rPr>
      </w:pPr>
    </w:p>
    <w:p w14:paraId="200B25ED" w14:textId="77777777" w:rsidR="007771F8" w:rsidRDefault="007771F8" w:rsidP="00A46BA5">
      <w:pPr>
        <w:tabs>
          <w:tab w:val="left" w:pos="1560"/>
        </w:tabs>
        <w:jc w:val="both"/>
        <w:rPr>
          <w:rFonts w:ascii="Arial" w:hAnsi="Arial"/>
          <w:sz w:val="24"/>
        </w:rPr>
      </w:pPr>
    </w:p>
    <w:p w14:paraId="713BD60E" w14:textId="77777777" w:rsidR="007771F8" w:rsidRDefault="007771F8" w:rsidP="00A46BA5">
      <w:pPr>
        <w:tabs>
          <w:tab w:val="left" w:pos="1560"/>
        </w:tabs>
        <w:jc w:val="both"/>
        <w:rPr>
          <w:rFonts w:ascii="Arial" w:hAnsi="Arial"/>
          <w:sz w:val="24"/>
        </w:rPr>
      </w:pPr>
    </w:p>
    <w:p w14:paraId="7C33DC95" w14:textId="77777777" w:rsidR="005B4ADD" w:rsidRDefault="005B4ADD" w:rsidP="00A46BA5">
      <w:pPr>
        <w:tabs>
          <w:tab w:val="left" w:pos="1560"/>
        </w:tabs>
        <w:jc w:val="both"/>
        <w:rPr>
          <w:rFonts w:ascii="Arial" w:hAnsi="Arial"/>
          <w:sz w:val="24"/>
        </w:rPr>
      </w:pPr>
    </w:p>
    <w:p w14:paraId="05E84A12" w14:textId="77777777" w:rsidR="00826F6A" w:rsidRDefault="00826F6A" w:rsidP="00A46BA5">
      <w:pPr>
        <w:tabs>
          <w:tab w:val="left" w:pos="1560"/>
        </w:tabs>
        <w:jc w:val="both"/>
        <w:rPr>
          <w:rFonts w:ascii="Arial" w:hAnsi="Arial"/>
          <w:sz w:val="24"/>
        </w:rPr>
      </w:pPr>
    </w:p>
    <w:p w14:paraId="10C7D363" w14:textId="77777777" w:rsidR="00826F6A" w:rsidRDefault="00826F6A" w:rsidP="00A46BA5">
      <w:pPr>
        <w:tabs>
          <w:tab w:val="left" w:pos="1560"/>
        </w:tabs>
        <w:jc w:val="both"/>
        <w:rPr>
          <w:rFonts w:ascii="Arial" w:hAnsi="Arial"/>
          <w:sz w:val="24"/>
        </w:rPr>
      </w:pPr>
    </w:p>
    <w:p w14:paraId="2C4B2346" w14:textId="77777777" w:rsidR="00826F6A" w:rsidRDefault="00826F6A" w:rsidP="00A46BA5">
      <w:pPr>
        <w:tabs>
          <w:tab w:val="left" w:pos="1560"/>
        </w:tabs>
        <w:jc w:val="both"/>
        <w:rPr>
          <w:rFonts w:ascii="Arial" w:hAnsi="Arial"/>
          <w:sz w:val="24"/>
        </w:rPr>
      </w:pPr>
    </w:p>
    <w:p w14:paraId="297378A4" w14:textId="77777777" w:rsidR="005B4ADD" w:rsidRDefault="005B4ADD" w:rsidP="00A46BA5">
      <w:pPr>
        <w:tabs>
          <w:tab w:val="left" w:pos="1560"/>
        </w:tabs>
        <w:jc w:val="both"/>
        <w:rPr>
          <w:rFonts w:ascii="Arial" w:hAnsi="Arial"/>
          <w:sz w:val="24"/>
        </w:rPr>
      </w:pPr>
    </w:p>
    <w:p w14:paraId="387D875E" w14:textId="77777777" w:rsidR="005B4ADD" w:rsidRDefault="005B4ADD" w:rsidP="00A46BA5">
      <w:pPr>
        <w:tabs>
          <w:tab w:val="left" w:pos="1560"/>
        </w:tabs>
        <w:jc w:val="both"/>
        <w:rPr>
          <w:rFonts w:ascii="Arial" w:hAnsi="Arial"/>
          <w:sz w:val="24"/>
        </w:rPr>
      </w:pPr>
    </w:p>
    <w:p w14:paraId="6655A9A2" w14:textId="77777777" w:rsidR="005B4ADD" w:rsidRDefault="005B4ADD" w:rsidP="00A46BA5">
      <w:pPr>
        <w:tabs>
          <w:tab w:val="left" w:pos="1560"/>
        </w:tabs>
        <w:jc w:val="both"/>
        <w:rPr>
          <w:rFonts w:ascii="Arial" w:hAnsi="Arial"/>
          <w:sz w:val="24"/>
        </w:rPr>
      </w:pPr>
    </w:p>
    <w:p w14:paraId="577F1D8C" w14:textId="77777777" w:rsidR="0067445C" w:rsidRDefault="0067445C" w:rsidP="00A46BA5">
      <w:pPr>
        <w:tabs>
          <w:tab w:val="left" w:pos="1560"/>
        </w:tabs>
        <w:jc w:val="both"/>
        <w:rPr>
          <w:rFonts w:ascii="Arial" w:hAnsi="Arial"/>
          <w:sz w:val="24"/>
        </w:rPr>
      </w:pPr>
    </w:p>
    <w:p w14:paraId="53FDDD76" w14:textId="6E63E578" w:rsidR="00A46BA5" w:rsidRPr="001D53B3" w:rsidRDefault="00A46BA5" w:rsidP="005B4ADD">
      <w:pPr>
        <w:pStyle w:val="Heading2"/>
        <w:rPr>
          <w:rFonts w:ascii="Arial" w:hAnsi="Arial" w:cs="Arial"/>
          <w:b/>
          <w:bCs/>
          <w:color w:val="auto"/>
        </w:rPr>
      </w:pPr>
      <w:bookmarkStart w:id="2" w:name="_Toc195617892"/>
      <w:r w:rsidRPr="001D53B3">
        <w:rPr>
          <w:rFonts w:ascii="Arial" w:hAnsi="Arial" w:cs="Arial"/>
          <w:b/>
          <w:bCs/>
          <w:color w:val="auto"/>
        </w:rPr>
        <w:lastRenderedPageBreak/>
        <w:t>2.0</w:t>
      </w:r>
      <w:r w:rsidRPr="001D53B3">
        <w:rPr>
          <w:rFonts w:ascii="Arial" w:hAnsi="Arial" w:cs="Arial"/>
          <w:b/>
          <w:bCs/>
          <w:color w:val="auto"/>
        </w:rPr>
        <w:tab/>
      </w:r>
      <w:r w:rsidR="0080028A" w:rsidRPr="001D53B3">
        <w:rPr>
          <w:rFonts w:ascii="Arial" w:hAnsi="Arial" w:cs="Arial"/>
          <w:b/>
          <w:bCs/>
          <w:color w:val="auto"/>
        </w:rPr>
        <w:t>CONTRACT TYPES</w:t>
      </w:r>
      <w:bookmarkEnd w:id="2"/>
    </w:p>
    <w:p w14:paraId="4D25C831" w14:textId="77777777" w:rsidR="00A46BA5" w:rsidRDefault="00A46BA5" w:rsidP="00A46BA5">
      <w:pPr>
        <w:ind w:left="851" w:hanging="850"/>
        <w:rPr>
          <w:rFonts w:ascii="Arial" w:hAnsi="Arial"/>
          <w:b/>
          <w:sz w:val="24"/>
        </w:rPr>
      </w:pPr>
    </w:p>
    <w:p w14:paraId="3D7DCEDA" w14:textId="51A75649" w:rsidR="00A46BA5" w:rsidRDefault="00A46BA5" w:rsidP="00A46BA5">
      <w:pPr>
        <w:ind w:left="851"/>
        <w:jc w:val="both"/>
        <w:rPr>
          <w:rFonts w:ascii="Arial" w:hAnsi="Arial"/>
          <w:sz w:val="24"/>
        </w:rPr>
      </w:pPr>
      <w:r>
        <w:rPr>
          <w:rFonts w:ascii="Arial" w:hAnsi="Arial"/>
          <w:sz w:val="24"/>
        </w:rPr>
        <w:t>The type of contract shall be determined by Contract Owner</w:t>
      </w:r>
      <w:r>
        <w:rPr>
          <w:rFonts w:ascii="Arial" w:hAnsi="Arial"/>
          <w:i/>
          <w:color w:val="0000FF"/>
          <w:sz w:val="24"/>
        </w:rPr>
        <w:t xml:space="preserve">.  </w:t>
      </w:r>
      <w:r>
        <w:rPr>
          <w:rFonts w:ascii="Arial" w:hAnsi="Arial"/>
          <w:sz w:val="24"/>
        </w:rPr>
        <w:t>In selecting the</w:t>
      </w:r>
      <w:r w:rsidR="00826F6A">
        <w:rPr>
          <w:rFonts w:ascii="Arial" w:hAnsi="Arial"/>
          <w:sz w:val="24"/>
        </w:rPr>
        <w:t xml:space="preserve"> appropriate contract</w:t>
      </w:r>
      <w:r>
        <w:rPr>
          <w:rFonts w:ascii="Arial" w:hAnsi="Arial"/>
          <w:sz w:val="24"/>
        </w:rPr>
        <w:t xml:space="preserve"> type</w:t>
      </w:r>
      <w:r w:rsidR="00826F6A">
        <w:rPr>
          <w:rFonts w:ascii="Arial" w:hAnsi="Arial"/>
          <w:sz w:val="24"/>
        </w:rPr>
        <w:t>, the Contract Owner shall consider a range of factors including:</w:t>
      </w:r>
    </w:p>
    <w:p w14:paraId="1E754CE0" w14:textId="77777777" w:rsidR="00A46BA5" w:rsidRDefault="00A46BA5" w:rsidP="00A46BA5">
      <w:pPr>
        <w:jc w:val="both"/>
        <w:rPr>
          <w:rFonts w:ascii="Arial" w:hAnsi="Arial"/>
          <w:sz w:val="24"/>
        </w:rPr>
      </w:pPr>
    </w:p>
    <w:p w14:paraId="1512F263" w14:textId="77777777" w:rsidR="00A46BA5" w:rsidRDefault="00A46BA5" w:rsidP="00A46BA5">
      <w:pPr>
        <w:ind w:left="1701" w:hanging="851"/>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 xml:space="preserve">value and duration of the work </w:t>
      </w:r>
    </w:p>
    <w:p w14:paraId="12E97E9C" w14:textId="77777777" w:rsidR="00A46BA5" w:rsidRDefault="00A46BA5" w:rsidP="00A46BA5">
      <w:pPr>
        <w:tabs>
          <w:tab w:val="left" w:pos="5933"/>
        </w:tabs>
        <w:ind w:left="851" w:hanging="851"/>
        <w:jc w:val="both"/>
        <w:rPr>
          <w:rFonts w:ascii="Arial" w:hAnsi="Arial"/>
          <w:sz w:val="24"/>
        </w:rPr>
      </w:pPr>
    </w:p>
    <w:p w14:paraId="22AAD475" w14:textId="77777777" w:rsidR="00A46BA5" w:rsidRDefault="00A46BA5" w:rsidP="00A46BA5">
      <w:pPr>
        <w:ind w:left="1701" w:hanging="851"/>
        <w:rPr>
          <w:rFonts w:ascii="Arial" w:hAnsi="Arial"/>
          <w:sz w:val="24"/>
        </w:rPr>
      </w:pPr>
      <w:r>
        <w:rPr>
          <w:rFonts w:ascii="Arial" w:hAnsi="Arial"/>
          <w:sz w:val="24"/>
        </w:rPr>
        <w:t>(ii)</w:t>
      </w:r>
      <w:r>
        <w:rPr>
          <w:rFonts w:ascii="Arial" w:hAnsi="Arial"/>
          <w:sz w:val="24"/>
        </w:rPr>
        <w:tab/>
        <w:t xml:space="preserve">complexity and type of work being undertaken </w:t>
      </w:r>
    </w:p>
    <w:p w14:paraId="0EA53F4F" w14:textId="77777777" w:rsidR="00A46BA5" w:rsidRDefault="00A46BA5" w:rsidP="00A46BA5">
      <w:pPr>
        <w:ind w:left="1701" w:hanging="851"/>
        <w:rPr>
          <w:rFonts w:ascii="Arial" w:hAnsi="Arial"/>
          <w:sz w:val="24"/>
        </w:rPr>
      </w:pPr>
    </w:p>
    <w:p w14:paraId="747A7304" w14:textId="11126823" w:rsidR="00A46BA5" w:rsidRDefault="00A46BA5" w:rsidP="00A46BA5">
      <w:pPr>
        <w:ind w:left="1701" w:hanging="851"/>
        <w:rPr>
          <w:rFonts w:ascii="Arial" w:hAnsi="Arial"/>
          <w:sz w:val="24"/>
        </w:rPr>
      </w:pPr>
      <w:r>
        <w:rPr>
          <w:rFonts w:ascii="Arial" w:hAnsi="Arial"/>
          <w:sz w:val="24"/>
        </w:rPr>
        <w:t>(i</w:t>
      </w:r>
      <w:r w:rsidR="004F415C">
        <w:rPr>
          <w:rFonts w:ascii="Arial" w:hAnsi="Arial"/>
          <w:sz w:val="24"/>
        </w:rPr>
        <w:t>ii</w:t>
      </w:r>
      <w:r>
        <w:rPr>
          <w:rFonts w:ascii="Arial" w:hAnsi="Arial"/>
          <w:sz w:val="24"/>
        </w:rPr>
        <w:t>)</w:t>
      </w:r>
      <w:r>
        <w:rPr>
          <w:rFonts w:ascii="Arial" w:hAnsi="Arial"/>
          <w:sz w:val="24"/>
        </w:rPr>
        <w:tab/>
        <w:t>business and safety risks associated with the work</w:t>
      </w:r>
    </w:p>
    <w:p w14:paraId="189B5EEF" w14:textId="77777777" w:rsidR="00A46BA5" w:rsidRDefault="00A46BA5" w:rsidP="00A46BA5">
      <w:pPr>
        <w:ind w:left="1701" w:hanging="851"/>
        <w:rPr>
          <w:rFonts w:ascii="Arial" w:hAnsi="Arial"/>
          <w:sz w:val="24"/>
        </w:rPr>
      </w:pPr>
    </w:p>
    <w:p w14:paraId="1B95C1AE" w14:textId="0A31CA14" w:rsidR="00A46BA5" w:rsidRDefault="00A46BA5" w:rsidP="00A46BA5">
      <w:pPr>
        <w:ind w:left="1701" w:hanging="851"/>
        <w:rPr>
          <w:rFonts w:ascii="Arial" w:hAnsi="Arial"/>
          <w:sz w:val="24"/>
        </w:rPr>
      </w:pPr>
      <w:r>
        <w:rPr>
          <w:rFonts w:ascii="Arial" w:hAnsi="Arial"/>
          <w:sz w:val="24"/>
        </w:rPr>
        <w:t>(</w:t>
      </w:r>
      <w:r w:rsidR="004F415C">
        <w:rPr>
          <w:rFonts w:ascii="Arial" w:hAnsi="Arial"/>
          <w:sz w:val="24"/>
        </w:rPr>
        <w:t>i</w:t>
      </w:r>
      <w:r>
        <w:rPr>
          <w:rFonts w:ascii="Arial" w:hAnsi="Arial"/>
          <w:sz w:val="24"/>
        </w:rPr>
        <w:t>v)</w:t>
      </w:r>
      <w:r>
        <w:rPr>
          <w:rFonts w:ascii="Arial" w:hAnsi="Arial"/>
          <w:sz w:val="24"/>
        </w:rPr>
        <w:tab/>
        <w:t>current contracting arrangements.</w:t>
      </w:r>
    </w:p>
    <w:p w14:paraId="6671CEE4" w14:textId="77777777" w:rsidR="00BC7048" w:rsidRDefault="00BC7048" w:rsidP="00BC7048">
      <w:pPr>
        <w:jc w:val="both"/>
        <w:rPr>
          <w:rFonts w:ascii="Arial" w:hAnsi="Arial"/>
          <w:sz w:val="24"/>
        </w:rPr>
      </w:pPr>
    </w:p>
    <w:p w14:paraId="5B33F54B" w14:textId="20E11DCF" w:rsidR="00A46BA5" w:rsidRDefault="00A46BA5" w:rsidP="00BC7048">
      <w:pPr>
        <w:jc w:val="both"/>
        <w:rPr>
          <w:rFonts w:ascii="Arial" w:hAnsi="Arial"/>
          <w:sz w:val="24"/>
        </w:rPr>
      </w:pPr>
      <w:r>
        <w:rPr>
          <w:rFonts w:ascii="Arial" w:hAnsi="Arial"/>
          <w:color w:val="000000"/>
          <w:sz w:val="24"/>
        </w:rPr>
        <w:t>Where p</w:t>
      </w:r>
      <w:r w:rsidR="0054586B">
        <w:rPr>
          <w:rFonts w:ascii="Arial" w:hAnsi="Arial"/>
          <w:color w:val="000000"/>
          <w:sz w:val="24"/>
        </w:rPr>
        <w:t>racticable</w:t>
      </w:r>
      <w:r>
        <w:rPr>
          <w:rFonts w:ascii="Arial" w:hAnsi="Arial"/>
          <w:color w:val="000000"/>
          <w:sz w:val="24"/>
        </w:rPr>
        <w:t>,</w:t>
      </w:r>
      <w:r w:rsidR="00470779">
        <w:rPr>
          <w:rFonts w:ascii="Arial" w:hAnsi="Arial"/>
          <w:color w:val="000000"/>
          <w:sz w:val="24"/>
        </w:rPr>
        <w:t xml:space="preserve"> </w:t>
      </w:r>
      <w:r w:rsidR="0054586B">
        <w:rPr>
          <w:rFonts w:ascii="Arial" w:hAnsi="Arial"/>
          <w:color w:val="000000"/>
          <w:sz w:val="24"/>
        </w:rPr>
        <w:t xml:space="preserve">approved </w:t>
      </w:r>
      <w:r>
        <w:rPr>
          <w:rFonts w:ascii="Arial" w:hAnsi="Arial"/>
          <w:color w:val="000000"/>
          <w:sz w:val="24"/>
        </w:rPr>
        <w:t xml:space="preserve">model contract </w:t>
      </w:r>
      <w:r w:rsidR="0054586B">
        <w:rPr>
          <w:rFonts w:ascii="Arial" w:hAnsi="Arial"/>
          <w:color w:val="000000"/>
          <w:sz w:val="24"/>
        </w:rPr>
        <w:t>templates</w:t>
      </w:r>
      <w:r>
        <w:rPr>
          <w:rFonts w:ascii="Arial" w:hAnsi="Arial"/>
          <w:color w:val="000000"/>
          <w:sz w:val="24"/>
        </w:rPr>
        <w:t xml:space="preserve"> should be used</w:t>
      </w:r>
      <w:r w:rsidR="004F0AF8">
        <w:rPr>
          <w:rFonts w:ascii="Arial" w:hAnsi="Arial"/>
          <w:color w:val="000000"/>
          <w:sz w:val="24"/>
        </w:rPr>
        <w:t>. If</w:t>
      </w:r>
      <w:r>
        <w:rPr>
          <w:rFonts w:ascii="Arial" w:hAnsi="Arial"/>
          <w:color w:val="000000"/>
          <w:sz w:val="24"/>
        </w:rPr>
        <w:t xml:space="preserve"> no model contracts are considered suitable for the work, guidance should be sought from</w:t>
      </w:r>
      <w:r w:rsidR="007F34DD">
        <w:rPr>
          <w:rFonts w:ascii="Arial" w:hAnsi="Arial"/>
          <w:color w:val="000000"/>
          <w:sz w:val="24"/>
        </w:rPr>
        <w:t xml:space="preserve"> a qualified professional</w:t>
      </w:r>
      <w:r w:rsidR="0054586B">
        <w:rPr>
          <w:rFonts w:ascii="Arial" w:hAnsi="Arial"/>
          <w:color w:val="000000"/>
          <w:sz w:val="24"/>
        </w:rPr>
        <w:t xml:space="preserve"> prior to commencing the contracting process</w:t>
      </w:r>
      <w:r>
        <w:rPr>
          <w:rFonts w:ascii="Arial" w:hAnsi="Arial"/>
          <w:color w:val="000000"/>
          <w:sz w:val="24"/>
        </w:rPr>
        <w:t xml:space="preserve">.  Model contracts available include: </w:t>
      </w:r>
      <w:r w:rsidRPr="00DE0652">
        <w:rPr>
          <w:rFonts w:ascii="Arial" w:hAnsi="Arial"/>
          <w:sz w:val="24"/>
        </w:rPr>
        <w:t>[</w:t>
      </w:r>
      <w:r w:rsidRPr="00DE0652">
        <w:rPr>
          <w:rFonts w:ascii="Arial" w:hAnsi="Arial"/>
          <w:i/>
          <w:sz w:val="24"/>
        </w:rPr>
        <w:t>Purchase Orders</w:t>
      </w:r>
      <w:r w:rsidRPr="00DE0652">
        <w:rPr>
          <w:rFonts w:ascii="Arial" w:hAnsi="Arial"/>
          <w:sz w:val="24"/>
        </w:rPr>
        <w:t xml:space="preserve">, </w:t>
      </w:r>
      <w:r w:rsidRPr="00DE0652">
        <w:rPr>
          <w:rFonts w:ascii="Arial" w:hAnsi="Arial"/>
          <w:i/>
          <w:sz w:val="24"/>
        </w:rPr>
        <w:t>Service Orders, Service Contracts, Design, Construction, Drilling Services, Major Plant and Equipment, Short Form Contracts, Framework Agreements, Proforma Contracts and Specialist Services Contracts</w:t>
      </w:r>
      <w:r w:rsidRPr="00DE0652">
        <w:rPr>
          <w:rFonts w:ascii="Arial" w:hAnsi="Arial"/>
          <w:sz w:val="24"/>
        </w:rPr>
        <w:t>.]</w:t>
      </w:r>
    </w:p>
    <w:p w14:paraId="73562A37" w14:textId="77777777" w:rsidR="00A46BA5" w:rsidRDefault="00A46BA5" w:rsidP="00A46BA5">
      <w:pPr>
        <w:tabs>
          <w:tab w:val="left" w:pos="5933"/>
        </w:tabs>
        <w:ind w:left="851" w:hanging="851"/>
        <w:jc w:val="both"/>
        <w:rPr>
          <w:rFonts w:ascii="Arial" w:hAnsi="Arial"/>
          <w:sz w:val="24"/>
        </w:rPr>
      </w:pPr>
    </w:p>
    <w:p w14:paraId="1EBC0758" w14:textId="77777777" w:rsidR="00BC7048" w:rsidRDefault="00BC7048" w:rsidP="00A46BA5">
      <w:pPr>
        <w:tabs>
          <w:tab w:val="left" w:pos="5933"/>
        </w:tabs>
        <w:ind w:left="851" w:hanging="851"/>
        <w:jc w:val="both"/>
        <w:rPr>
          <w:rFonts w:ascii="Arial" w:hAnsi="Arial"/>
          <w:b/>
          <w:sz w:val="24"/>
        </w:rPr>
      </w:pPr>
    </w:p>
    <w:p w14:paraId="790F058C" w14:textId="77777777" w:rsidR="00BC7048" w:rsidRDefault="00BC7048" w:rsidP="00A46BA5">
      <w:pPr>
        <w:tabs>
          <w:tab w:val="left" w:pos="5933"/>
        </w:tabs>
        <w:ind w:left="851" w:hanging="851"/>
        <w:jc w:val="both"/>
        <w:rPr>
          <w:rFonts w:ascii="Arial" w:hAnsi="Arial"/>
          <w:b/>
          <w:sz w:val="24"/>
        </w:rPr>
      </w:pPr>
    </w:p>
    <w:p w14:paraId="5CE978CE" w14:textId="77777777" w:rsidR="00BC7048" w:rsidRDefault="00BC7048" w:rsidP="00A46BA5">
      <w:pPr>
        <w:tabs>
          <w:tab w:val="left" w:pos="5933"/>
        </w:tabs>
        <w:ind w:left="851" w:hanging="851"/>
        <w:jc w:val="both"/>
        <w:rPr>
          <w:rFonts w:ascii="Arial" w:hAnsi="Arial"/>
          <w:b/>
          <w:sz w:val="24"/>
        </w:rPr>
      </w:pPr>
    </w:p>
    <w:p w14:paraId="50DDE768" w14:textId="77777777" w:rsidR="00BC7048" w:rsidRDefault="00BC7048" w:rsidP="00A46BA5">
      <w:pPr>
        <w:tabs>
          <w:tab w:val="left" w:pos="5933"/>
        </w:tabs>
        <w:ind w:left="851" w:hanging="851"/>
        <w:jc w:val="both"/>
        <w:rPr>
          <w:rFonts w:ascii="Arial" w:hAnsi="Arial"/>
          <w:b/>
          <w:sz w:val="24"/>
        </w:rPr>
      </w:pPr>
    </w:p>
    <w:p w14:paraId="582E3221" w14:textId="77777777" w:rsidR="00BC7048" w:rsidRDefault="00BC7048" w:rsidP="00A46BA5">
      <w:pPr>
        <w:tabs>
          <w:tab w:val="left" w:pos="5933"/>
        </w:tabs>
        <w:ind w:left="851" w:hanging="851"/>
        <w:jc w:val="both"/>
        <w:rPr>
          <w:rFonts w:ascii="Arial" w:hAnsi="Arial"/>
          <w:b/>
          <w:sz w:val="24"/>
        </w:rPr>
      </w:pPr>
    </w:p>
    <w:p w14:paraId="3D52F0E4" w14:textId="77777777" w:rsidR="00BC7048" w:rsidRDefault="00BC7048" w:rsidP="00A46BA5">
      <w:pPr>
        <w:tabs>
          <w:tab w:val="left" w:pos="5933"/>
        </w:tabs>
        <w:ind w:left="851" w:hanging="851"/>
        <w:jc w:val="both"/>
        <w:rPr>
          <w:rFonts w:ascii="Arial" w:hAnsi="Arial"/>
          <w:b/>
          <w:sz w:val="24"/>
        </w:rPr>
      </w:pPr>
    </w:p>
    <w:p w14:paraId="65C8654F" w14:textId="77777777" w:rsidR="00BC7048" w:rsidRDefault="00BC7048" w:rsidP="00A46BA5">
      <w:pPr>
        <w:tabs>
          <w:tab w:val="left" w:pos="5933"/>
        </w:tabs>
        <w:ind w:left="851" w:hanging="851"/>
        <w:jc w:val="both"/>
        <w:rPr>
          <w:rFonts w:ascii="Arial" w:hAnsi="Arial"/>
          <w:b/>
          <w:sz w:val="24"/>
        </w:rPr>
      </w:pPr>
    </w:p>
    <w:p w14:paraId="5A2F429B" w14:textId="77777777" w:rsidR="00BC7048" w:rsidRDefault="00BC7048" w:rsidP="00A46BA5">
      <w:pPr>
        <w:tabs>
          <w:tab w:val="left" w:pos="5933"/>
        </w:tabs>
        <w:ind w:left="851" w:hanging="851"/>
        <w:jc w:val="both"/>
        <w:rPr>
          <w:rFonts w:ascii="Arial" w:hAnsi="Arial"/>
          <w:b/>
          <w:sz w:val="24"/>
        </w:rPr>
      </w:pPr>
    </w:p>
    <w:p w14:paraId="46B4EE8A" w14:textId="77777777" w:rsidR="00BC7048" w:rsidRDefault="00BC7048" w:rsidP="00A46BA5">
      <w:pPr>
        <w:tabs>
          <w:tab w:val="left" w:pos="5933"/>
        </w:tabs>
        <w:ind w:left="851" w:hanging="851"/>
        <w:jc w:val="both"/>
        <w:rPr>
          <w:rFonts w:ascii="Arial" w:hAnsi="Arial"/>
          <w:b/>
          <w:sz w:val="24"/>
        </w:rPr>
      </w:pPr>
    </w:p>
    <w:p w14:paraId="1C0C35AA" w14:textId="77777777" w:rsidR="00BC7048" w:rsidRDefault="00BC7048" w:rsidP="00A46BA5">
      <w:pPr>
        <w:tabs>
          <w:tab w:val="left" w:pos="5933"/>
        </w:tabs>
        <w:ind w:left="851" w:hanging="851"/>
        <w:jc w:val="both"/>
        <w:rPr>
          <w:rFonts w:ascii="Arial" w:hAnsi="Arial"/>
          <w:b/>
          <w:sz w:val="24"/>
        </w:rPr>
      </w:pPr>
    </w:p>
    <w:p w14:paraId="373EBB20" w14:textId="77777777" w:rsidR="00BC7048" w:rsidRDefault="00BC7048" w:rsidP="00A46BA5">
      <w:pPr>
        <w:tabs>
          <w:tab w:val="left" w:pos="5933"/>
        </w:tabs>
        <w:ind w:left="851" w:hanging="851"/>
        <w:jc w:val="both"/>
        <w:rPr>
          <w:rFonts w:ascii="Arial" w:hAnsi="Arial"/>
          <w:b/>
          <w:sz w:val="24"/>
        </w:rPr>
      </w:pPr>
    </w:p>
    <w:p w14:paraId="40DA52FE" w14:textId="77777777" w:rsidR="00BC7048" w:rsidRDefault="00BC7048" w:rsidP="00A46BA5">
      <w:pPr>
        <w:tabs>
          <w:tab w:val="left" w:pos="5933"/>
        </w:tabs>
        <w:ind w:left="851" w:hanging="851"/>
        <w:jc w:val="both"/>
        <w:rPr>
          <w:rFonts w:ascii="Arial" w:hAnsi="Arial"/>
          <w:b/>
          <w:sz w:val="24"/>
        </w:rPr>
      </w:pPr>
    </w:p>
    <w:p w14:paraId="54E9FB11" w14:textId="77777777" w:rsidR="00BC7048" w:rsidRDefault="00BC7048" w:rsidP="00A46BA5">
      <w:pPr>
        <w:tabs>
          <w:tab w:val="left" w:pos="5933"/>
        </w:tabs>
        <w:ind w:left="851" w:hanging="851"/>
        <w:jc w:val="both"/>
        <w:rPr>
          <w:rFonts w:ascii="Arial" w:hAnsi="Arial"/>
          <w:b/>
          <w:sz w:val="24"/>
        </w:rPr>
      </w:pPr>
    </w:p>
    <w:p w14:paraId="6852C62D" w14:textId="77777777" w:rsidR="00BC7048" w:rsidRDefault="00BC7048" w:rsidP="00A46BA5">
      <w:pPr>
        <w:tabs>
          <w:tab w:val="left" w:pos="5933"/>
        </w:tabs>
        <w:ind w:left="851" w:hanging="851"/>
        <w:jc w:val="both"/>
        <w:rPr>
          <w:rFonts w:ascii="Arial" w:hAnsi="Arial"/>
          <w:b/>
          <w:sz w:val="24"/>
        </w:rPr>
      </w:pPr>
    </w:p>
    <w:p w14:paraId="1932AE02" w14:textId="77777777" w:rsidR="00BC7048" w:rsidRDefault="00BC7048" w:rsidP="00A46BA5">
      <w:pPr>
        <w:tabs>
          <w:tab w:val="left" w:pos="5933"/>
        </w:tabs>
        <w:ind w:left="851" w:hanging="851"/>
        <w:jc w:val="both"/>
        <w:rPr>
          <w:rFonts w:ascii="Arial" w:hAnsi="Arial"/>
          <w:b/>
          <w:sz w:val="24"/>
        </w:rPr>
      </w:pPr>
    </w:p>
    <w:p w14:paraId="6469DF67" w14:textId="77777777" w:rsidR="00BC7048" w:rsidRDefault="00BC7048" w:rsidP="00A46BA5">
      <w:pPr>
        <w:tabs>
          <w:tab w:val="left" w:pos="5933"/>
        </w:tabs>
        <w:ind w:left="851" w:hanging="851"/>
        <w:jc w:val="both"/>
        <w:rPr>
          <w:rFonts w:ascii="Arial" w:hAnsi="Arial"/>
          <w:b/>
          <w:sz w:val="24"/>
        </w:rPr>
      </w:pPr>
    </w:p>
    <w:p w14:paraId="0B6EB533" w14:textId="77777777" w:rsidR="00BC7048" w:rsidRDefault="00BC7048" w:rsidP="00A46BA5">
      <w:pPr>
        <w:tabs>
          <w:tab w:val="left" w:pos="5933"/>
        </w:tabs>
        <w:ind w:left="851" w:hanging="851"/>
        <w:jc w:val="both"/>
        <w:rPr>
          <w:rFonts w:ascii="Arial" w:hAnsi="Arial"/>
          <w:b/>
          <w:sz w:val="24"/>
        </w:rPr>
      </w:pPr>
    </w:p>
    <w:p w14:paraId="39193580" w14:textId="77777777" w:rsidR="00BC7048" w:rsidRDefault="00BC7048" w:rsidP="00A46BA5">
      <w:pPr>
        <w:tabs>
          <w:tab w:val="left" w:pos="5933"/>
        </w:tabs>
        <w:ind w:left="851" w:hanging="851"/>
        <w:jc w:val="both"/>
        <w:rPr>
          <w:rFonts w:ascii="Arial" w:hAnsi="Arial"/>
          <w:b/>
          <w:sz w:val="24"/>
        </w:rPr>
      </w:pPr>
    </w:p>
    <w:p w14:paraId="25E61D6B" w14:textId="77777777" w:rsidR="005B4ADD" w:rsidRDefault="005B4ADD" w:rsidP="005B4ADD"/>
    <w:p w14:paraId="43DD6804" w14:textId="77777777" w:rsidR="005B4ADD" w:rsidRDefault="005B4ADD" w:rsidP="005B4ADD"/>
    <w:p w14:paraId="43A029F2" w14:textId="77777777" w:rsidR="005B4ADD" w:rsidRDefault="005B4ADD" w:rsidP="005B4ADD"/>
    <w:p w14:paraId="3434D935" w14:textId="77777777" w:rsidR="005B4ADD" w:rsidRDefault="005B4ADD" w:rsidP="005B4ADD"/>
    <w:p w14:paraId="71707F02" w14:textId="77777777" w:rsidR="005B4ADD" w:rsidRDefault="005B4ADD" w:rsidP="005B4ADD"/>
    <w:p w14:paraId="45B7ADFD" w14:textId="77777777" w:rsidR="005B4ADD" w:rsidRPr="005B4ADD" w:rsidRDefault="005B4ADD" w:rsidP="005B4ADD"/>
    <w:p w14:paraId="4B9E765E" w14:textId="113D4A82" w:rsidR="00A46BA5" w:rsidRPr="001D53B3" w:rsidRDefault="00A46BA5" w:rsidP="005B4ADD">
      <w:pPr>
        <w:pStyle w:val="Heading2"/>
        <w:rPr>
          <w:rFonts w:ascii="Arial" w:hAnsi="Arial" w:cs="Arial"/>
          <w:b/>
          <w:bCs/>
          <w:color w:val="auto"/>
        </w:rPr>
      </w:pPr>
      <w:bookmarkStart w:id="3" w:name="_Toc195617893"/>
      <w:r w:rsidRPr="001D53B3">
        <w:rPr>
          <w:rFonts w:ascii="Arial" w:hAnsi="Arial" w:cs="Arial"/>
          <w:b/>
          <w:bCs/>
          <w:color w:val="auto"/>
        </w:rPr>
        <w:lastRenderedPageBreak/>
        <w:t>3.0</w:t>
      </w:r>
      <w:r w:rsidRPr="001D53B3">
        <w:rPr>
          <w:rFonts w:ascii="Arial" w:hAnsi="Arial" w:cs="Arial"/>
          <w:b/>
          <w:bCs/>
          <w:color w:val="auto"/>
        </w:rPr>
        <w:tab/>
        <w:t>CONTRACTING OPTIONS</w:t>
      </w:r>
      <w:bookmarkEnd w:id="3"/>
    </w:p>
    <w:p w14:paraId="192FCDB1" w14:textId="77777777" w:rsidR="00A46BA5" w:rsidRDefault="00A46BA5" w:rsidP="00A46BA5">
      <w:pPr>
        <w:ind w:left="851" w:hanging="851"/>
        <w:rPr>
          <w:rFonts w:ascii="Arial" w:hAnsi="Arial"/>
          <w:b/>
          <w:sz w:val="24"/>
        </w:rPr>
      </w:pPr>
    </w:p>
    <w:p w14:paraId="59F2B519" w14:textId="6EC21576" w:rsidR="00A46BA5" w:rsidRDefault="00A46BA5" w:rsidP="00A46BA5">
      <w:pPr>
        <w:ind w:left="851"/>
        <w:jc w:val="both"/>
        <w:rPr>
          <w:rFonts w:ascii="Arial" w:hAnsi="Arial"/>
          <w:sz w:val="24"/>
        </w:rPr>
      </w:pPr>
      <w:r>
        <w:rPr>
          <w:rFonts w:ascii="Arial" w:hAnsi="Arial"/>
          <w:sz w:val="24"/>
        </w:rPr>
        <w:t xml:space="preserve">Contracts covered by this procedure </w:t>
      </w:r>
      <w:r w:rsidR="00560AEA">
        <w:rPr>
          <w:rFonts w:ascii="Arial" w:hAnsi="Arial"/>
          <w:sz w:val="24"/>
        </w:rPr>
        <w:t>shall</w:t>
      </w:r>
      <w:r>
        <w:rPr>
          <w:rFonts w:ascii="Arial" w:hAnsi="Arial"/>
          <w:sz w:val="24"/>
        </w:rPr>
        <w:t xml:space="preserve"> generally be awarded</w:t>
      </w:r>
      <w:r w:rsidR="00560AEA">
        <w:rPr>
          <w:rFonts w:ascii="Arial" w:hAnsi="Arial"/>
          <w:sz w:val="24"/>
        </w:rPr>
        <w:t xml:space="preserve"> through a competitive</w:t>
      </w:r>
      <w:r>
        <w:rPr>
          <w:rFonts w:ascii="Arial" w:hAnsi="Arial"/>
          <w:sz w:val="24"/>
        </w:rPr>
        <w:t xml:space="preserve"> tender </w:t>
      </w:r>
      <w:r w:rsidR="00560AEA">
        <w:rPr>
          <w:rFonts w:ascii="Arial" w:hAnsi="Arial"/>
          <w:sz w:val="24"/>
        </w:rPr>
        <w:t>process conducted among approved suppliers. H</w:t>
      </w:r>
      <w:r>
        <w:rPr>
          <w:rFonts w:ascii="Arial" w:hAnsi="Arial"/>
          <w:sz w:val="24"/>
        </w:rPr>
        <w:t>owever</w:t>
      </w:r>
      <w:r w:rsidR="00B2066A">
        <w:rPr>
          <w:rFonts w:ascii="Arial" w:hAnsi="Arial"/>
          <w:sz w:val="24"/>
        </w:rPr>
        <w:t>,</w:t>
      </w:r>
      <w:r>
        <w:rPr>
          <w:rFonts w:ascii="Arial" w:hAnsi="Arial"/>
          <w:sz w:val="24"/>
        </w:rPr>
        <w:t xml:space="preserve"> alternativ</w:t>
      </w:r>
      <w:r w:rsidR="00B2066A">
        <w:rPr>
          <w:rFonts w:ascii="Arial" w:hAnsi="Arial"/>
          <w:sz w:val="24"/>
        </w:rPr>
        <w:t>es</w:t>
      </w:r>
      <w:r>
        <w:rPr>
          <w:rFonts w:ascii="Arial" w:hAnsi="Arial"/>
          <w:sz w:val="24"/>
        </w:rPr>
        <w:t xml:space="preserve"> may be considered.</w:t>
      </w:r>
    </w:p>
    <w:p w14:paraId="4F1A69F5" w14:textId="77777777" w:rsidR="00A46BA5" w:rsidRDefault="00A46BA5" w:rsidP="00A46BA5">
      <w:pPr>
        <w:pStyle w:val="bullet"/>
        <w:spacing w:after="0"/>
        <w:ind w:hanging="851"/>
        <w:rPr>
          <w:rFonts w:ascii="Arial" w:hAnsi="Arial"/>
          <w:b/>
        </w:rPr>
      </w:pPr>
      <w:r>
        <w:rPr>
          <w:rFonts w:ascii="Arial" w:hAnsi="Arial"/>
          <w:b/>
        </w:rPr>
        <w:tab/>
      </w:r>
    </w:p>
    <w:p w14:paraId="435FA8BB" w14:textId="77777777" w:rsidR="00A46BA5" w:rsidRDefault="00A46BA5" w:rsidP="00A46BA5">
      <w:pPr>
        <w:pStyle w:val="bullet"/>
        <w:spacing w:after="0"/>
        <w:ind w:firstLine="0"/>
        <w:rPr>
          <w:rFonts w:ascii="Arial" w:hAnsi="Arial"/>
          <w:b/>
        </w:rPr>
      </w:pPr>
      <w:r>
        <w:rPr>
          <w:rFonts w:ascii="Arial" w:hAnsi="Arial"/>
          <w:b/>
        </w:rPr>
        <w:t>Alternative Contracting Approaches:</w:t>
      </w:r>
    </w:p>
    <w:p w14:paraId="47D8E7C6" w14:textId="77777777" w:rsidR="00A46BA5" w:rsidRDefault="00A46BA5" w:rsidP="00A46BA5">
      <w:pPr>
        <w:ind w:left="851" w:hanging="851"/>
        <w:rPr>
          <w:rFonts w:ascii="Arial" w:hAnsi="Arial"/>
          <w:b/>
          <w:sz w:val="24"/>
        </w:rPr>
      </w:pPr>
    </w:p>
    <w:p w14:paraId="67406899" w14:textId="77777777" w:rsidR="00A46BA5" w:rsidRDefault="00A46BA5" w:rsidP="00A46BA5">
      <w:pPr>
        <w:pStyle w:val="bullet"/>
        <w:spacing w:after="0"/>
        <w:ind w:left="1702" w:hanging="851"/>
        <w:rPr>
          <w:rFonts w:ascii="Arial" w:hAnsi="Arial"/>
          <w:b/>
        </w:rPr>
      </w:pPr>
      <w:r>
        <w:rPr>
          <w:rFonts w:ascii="Arial" w:hAnsi="Arial"/>
          <w:b/>
        </w:rPr>
        <w:t>(</w:t>
      </w:r>
      <w:proofErr w:type="spellStart"/>
      <w:r>
        <w:rPr>
          <w:rFonts w:ascii="Arial" w:hAnsi="Arial"/>
          <w:b/>
        </w:rPr>
        <w:t>i</w:t>
      </w:r>
      <w:proofErr w:type="spellEnd"/>
      <w:r>
        <w:rPr>
          <w:rFonts w:ascii="Arial" w:hAnsi="Arial"/>
          <w:b/>
        </w:rPr>
        <w:t>)</w:t>
      </w:r>
      <w:r>
        <w:rPr>
          <w:rFonts w:ascii="Arial" w:hAnsi="Arial"/>
          <w:b/>
        </w:rPr>
        <w:tab/>
        <w:t>Competitive Tendering</w:t>
      </w:r>
    </w:p>
    <w:p w14:paraId="2CF9B556" w14:textId="77777777" w:rsidR="00A46BA5" w:rsidRDefault="00A46BA5" w:rsidP="00A46BA5">
      <w:pPr>
        <w:pStyle w:val="bullet"/>
        <w:spacing w:after="0"/>
        <w:ind w:left="1702" w:hanging="851"/>
        <w:rPr>
          <w:rFonts w:ascii="Arial" w:hAnsi="Arial"/>
        </w:rPr>
      </w:pPr>
    </w:p>
    <w:p w14:paraId="02AE7279" w14:textId="77777777" w:rsidR="00A46BA5" w:rsidRDefault="00A46BA5" w:rsidP="00A46BA5">
      <w:pPr>
        <w:ind w:left="1701"/>
        <w:jc w:val="both"/>
        <w:rPr>
          <w:rFonts w:ascii="Arial" w:hAnsi="Arial"/>
          <w:sz w:val="24"/>
        </w:rPr>
      </w:pPr>
      <w:r>
        <w:rPr>
          <w:rFonts w:ascii="Arial" w:hAnsi="Arial"/>
          <w:sz w:val="24"/>
        </w:rPr>
        <w:t>Invitation to Tender documentation is issued to an approved list of tenderers seeking formal competitive offers to contract with the Company.</w:t>
      </w:r>
    </w:p>
    <w:p w14:paraId="796A3158" w14:textId="77777777" w:rsidR="00A46BA5" w:rsidRDefault="00A46BA5" w:rsidP="00A46BA5">
      <w:pPr>
        <w:pStyle w:val="bullet"/>
        <w:spacing w:after="0"/>
        <w:ind w:left="1702" w:hanging="851"/>
        <w:rPr>
          <w:rFonts w:ascii="Arial" w:hAnsi="Arial"/>
        </w:rPr>
      </w:pPr>
    </w:p>
    <w:p w14:paraId="1E30A1A9" w14:textId="78CA420F" w:rsidR="00A46BA5" w:rsidRDefault="00A46BA5" w:rsidP="00A46BA5">
      <w:pPr>
        <w:pStyle w:val="bullet"/>
        <w:spacing w:after="0"/>
        <w:ind w:left="1702" w:hanging="851"/>
        <w:rPr>
          <w:rFonts w:ascii="Arial" w:hAnsi="Arial"/>
          <w:b/>
        </w:rPr>
      </w:pPr>
      <w:r>
        <w:rPr>
          <w:rFonts w:ascii="Arial" w:hAnsi="Arial"/>
          <w:b/>
        </w:rPr>
        <w:t>(ii)</w:t>
      </w:r>
      <w:r>
        <w:rPr>
          <w:rFonts w:ascii="Arial" w:hAnsi="Arial"/>
          <w:b/>
        </w:rPr>
        <w:tab/>
        <w:t>Single Sourcing</w:t>
      </w:r>
    </w:p>
    <w:p w14:paraId="4AB6A2E4" w14:textId="77777777" w:rsidR="00A46BA5" w:rsidRDefault="00A46BA5" w:rsidP="00A46BA5">
      <w:pPr>
        <w:pStyle w:val="bullet"/>
        <w:spacing w:after="0"/>
        <w:ind w:left="1702" w:hanging="851"/>
        <w:rPr>
          <w:rFonts w:ascii="Arial" w:hAnsi="Arial"/>
        </w:rPr>
      </w:pPr>
    </w:p>
    <w:p w14:paraId="5B93DE24" w14:textId="41C9BF1B" w:rsidR="00A46BA5" w:rsidRDefault="00A46BA5" w:rsidP="00A46BA5">
      <w:pPr>
        <w:ind w:left="1701"/>
        <w:jc w:val="both"/>
        <w:rPr>
          <w:rFonts w:ascii="Arial" w:hAnsi="Arial"/>
          <w:sz w:val="24"/>
        </w:rPr>
      </w:pPr>
      <w:r>
        <w:rPr>
          <w:rFonts w:ascii="Arial" w:hAnsi="Arial"/>
          <w:sz w:val="24"/>
        </w:rPr>
        <w:t xml:space="preserve">This approach is used when Company chooses to contract with a particular Contractor, even though there are alternative providers of that </w:t>
      </w:r>
      <w:proofErr w:type="gramStart"/>
      <w:r>
        <w:rPr>
          <w:rFonts w:ascii="Arial" w:hAnsi="Arial"/>
          <w:sz w:val="24"/>
        </w:rPr>
        <w:t>particular service</w:t>
      </w:r>
      <w:proofErr w:type="gramEnd"/>
      <w:r>
        <w:rPr>
          <w:rFonts w:ascii="Arial" w:hAnsi="Arial"/>
          <w:sz w:val="24"/>
        </w:rPr>
        <w:t xml:space="preserve"> available. It should only be adopted in exceptional circumstances such as operational emergencies, for specialist skills or where the number of prospective tenderers is limited.  A robust justification</w:t>
      </w:r>
      <w:r w:rsidR="009D4C6D">
        <w:rPr>
          <w:rFonts w:ascii="Arial" w:hAnsi="Arial"/>
          <w:sz w:val="24"/>
        </w:rPr>
        <w:t xml:space="preserve"> should</w:t>
      </w:r>
      <w:r>
        <w:rPr>
          <w:rFonts w:ascii="Arial" w:hAnsi="Arial"/>
          <w:sz w:val="24"/>
        </w:rPr>
        <w:t xml:space="preserve"> be made at the time of raising if this route is to be followed.  The mechanism for arriving at a contractual basis for a Single Source arrangement can be through negotiation (as described below), ensuring that a check on market competitiveness is carried out</w:t>
      </w:r>
      <w:r w:rsidR="00EE7177">
        <w:rPr>
          <w:rFonts w:ascii="Arial" w:hAnsi="Arial"/>
          <w:sz w:val="24"/>
        </w:rPr>
        <w:t>.</w:t>
      </w:r>
    </w:p>
    <w:p w14:paraId="52BDF8B3" w14:textId="77777777" w:rsidR="00A46BA5" w:rsidRDefault="00A46BA5" w:rsidP="00A46BA5">
      <w:pPr>
        <w:ind w:left="1701"/>
        <w:jc w:val="both"/>
        <w:rPr>
          <w:rFonts w:ascii="Arial" w:hAnsi="Arial"/>
          <w:sz w:val="24"/>
        </w:rPr>
      </w:pPr>
    </w:p>
    <w:p w14:paraId="5CFABAE6" w14:textId="77777777" w:rsidR="00A46BA5" w:rsidRDefault="00A46BA5" w:rsidP="00A46BA5">
      <w:pPr>
        <w:pStyle w:val="bullet"/>
        <w:spacing w:after="0"/>
        <w:ind w:left="1702" w:hanging="851"/>
        <w:rPr>
          <w:rFonts w:ascii="Arial" w:hAnsi="Arial"/>
          <w:b/>
        </w:rPr>
      </w:pPr>
      <w:r>
        <w:rPr>
          <w:rFonts w:ascii="Arial" w:hAnsi="Arial"/>
          <w:b/>
        </w:rPr>
        <w:t xml:space="preserve"> (iii)</w:t>
      </w:r>
      <w:r>
        <w:rPr>
          <w:rFonts w:ascii="Arial" w:hAnsi="Arial"/>
          <w:b/>
        </w:rPr>
        <w:tab/>
        <w:t>Sole Sourcing</w:t>
      </w:r>
    </w:p>
    <w:p w14:paraId="19E0FB86" w14:textId="77777777" w:rsidR="00A46BA5" w:rsidRDefault="00A46BA5" w:rsidP="00A46BA5">
      <w:pPr>
        <w:ind w:left="1701" w:hanging="850"/>
        <w:rPr>
          <w:rFonts w:ascii="Arial" w:hAnsi="Arial"/>
          <w:sz w:val="24"/>
        </w:rPr>
      </w:pPr>
    </w:p>
    <w:p w14:paraId="671E01B8" w14:textId="77777777" w:rsidR="00A46BA5" w:rsidRDefault="00A46BA5" w:rsidP="00A46BA5">
      <w:pPr>
        <w:ind w:left="1701"/>
        <w:jc w:val="both"/>
        <w:rPr>
          <w:rFonts w:ascii="Arial" w:hAnsi="Arial"/>
          <w:sz w:val="24"/>
        </w:rPr>
      </w:pPr>
      <w:r>
        <w:rPr>
          <w:rFonts w:ascii="Arial" w:hAnsi="Arial"/>
          <w:sz w:val="24"/>
        </w:rPr>
        <w:t xml:space="preserve">This approach is used in a situation where there is realistically only </w:t>
      </w:r>
      <w:r>
        <w:rPr>
          <w:rFonts w:ascii="Arial" w:hAnsi="Arial"/>
          <w:sz w:val="24"/>
          <w:u w:val="single"/>
        </w:rPr>
        <w:t>one</w:t>
      </w:r>
      <w:r>
        <w:rPr>
          <w:rFonts w:ascii="Arial" w:hAnsi="Arial"/>
          <w:sz w:val="24"/>
        </w:rPr>
        <w:t xml:space="preserve"> possible Contractor for Company to utilise to undertake the </w:t>
      </w:r>
      <w:proofErr w:type="gramStart"/>
      <w:r>
        <w:rPr>
          <w:rFonts w:ascii="Arial" w:hAnsi="Arial"/>
          <w:sz w:val="24"/>
        </w:rPr>
        <w:t>particular work</w:t>
      </w:r>
      <w:proofErr w:type="gramEnd"/>
      <w:r>
        <w:rPr>
          <w:rFonts w:ascii="Arial" w:hAnsi="Arial"/>
          <w:sz w:val="24"/>
        </w:rPr>
        <w:t xml:space="preserve"> requirement.  Again, a robust justification is required and essentially the same rationale and mechanism as for Single Sourcing above should be followed. </w:t>
      </w:r>
    </w:p>
    <w:p w14:paraId="29DA7BF9" w14:textId="77777777" w:rsidR="00A46BA5" w:rsidRDefault="00A46BA5" w:rsidP="00A46BA5">
      <w:pPr>
        <w:ind w:left="924"/>
        <w:jc w:val="both"/>
        <w:rPr>
          <w:rFonts w:ascii="Arial" w:hAnsi="Arial"/>
          <w:sz w:val="24"/>
        </w:rPr>
      </w:pPr>
    </w:p>
    <w:p w14:paraId="0890A81D" w14:textId="77777777" w:rsidR="00A46BA5" w:rsidRDefault="00A46BA5" w:rsidP="00A46BA5">
      <w:pPr>
        <w:ind w:left="567"/>
        <w:jc w:val="both"/>
        <w:rPr>
          <w:rFonts w:ascii="Arial" w:hAnsi="Arial"/>
          <w:sz w:val="24"/>
        </w:rPr>
      </w:pPr>
    </w:p>
    <w:p w14:paraId="54BC931B" w14:textId="6441F33F" w:rsidR="00A46BA5" w:rsidRDefault="00A46BA5" w:rsidP="00A46BA5">
      <w:pPr>
        <w:pStyle w:val="bullet"/>
        <w:spacing w:after="0"/>
        <w:ind w:left="1702" w:hanging="851"/>
        <w:rPr>
          <w:rFonts w:ascii="Arial" w:hAnsi="Arial"/>
          <w:b/>
        </w:rPr>
      </w:pPr>
      <w:r>
        <w:rPr>
          <w:rFonts w:ascii="Arial" w:hAnsi="Arial"/>
          <w:b/>
        </w:rPr>
        <w:t>(iv)</w:t>
      </w:r>
      <w:r>
        <w:rPr>
          <w:rFonts w:ascii="Arial" w:hAnsi="Arial"/>
          <w:b/>
        </w:rPr>
        <w:tab/>
        <w:t>Negotiation</w:t>
      </w:r>
    </w:p>
    <w:p w14:paraId="616462F9" w14:textId="77777777" w:rsidR="00A46BA5" w:rsidRDefault="00A46BA5" w:rsidP="00A46BA5">
      <w:pPr>
        <w:ind w:left="1701" w:hanging="850"/>
        <w:rPr>
          <w:rFonts w:ascii="Arial" w:hAnsi="Arial"/>
          <w:sz w:val="24"/>
        </w:rPr>
      </w:pPr>
    </w:p>
    <w:p w14:paraId="6335E770" w14:textId="77777777" w:rsidR="00A46BA5" w:rsidRDefault="00A46BA5" w:rsidP="00A46BA5">
      <w:pPr>
        <w:ind w:left="1701"/>
        <w:jc w:val="both"/>
        <w:rPr>
          <w:rFonts w:ascii="Arial" w:hAnsi="Arial"/>
          <w:sz w:val="24"/>
        </w:rPr>
      </w:pPr>
      <w:r>
        <w:rPr>
          <w:rFonts w:ascii="Arial" w:hAnsi="Arial"/>
          <w:b/>
          <w:sz w:val="24"/>
        </w:rPr>
        <w:t>Direct negotiation</w:t>
      </w:r>
      <w:r>
        <w:rPr>
          <w:rFonts w:ascii="Arial" w:hAnsi="Arial"/>
          <w:sz w:val="24"/>
        </w:rPr>
        <w:t xml:space="preserve"> -</w:t>
      </w:r>
      <w:r>
        <w:rPr>
          <w:rFonts w:ascii="Arial" w:hAnsi="Arial"/>
          <w:b/>
          <w:sz w:val="24"/>
        </w:rPr>
        <w:t xml:space="preserve"> </w:t>
      </w:r>
      <w:r>
        <w:rPr>
          <w:rFonts w:ascii="Arial" w:hAnsi="Arial"/>
          <w:sz w:val="24"/>
        </w:rPr>
        <w:t>where negotiation is between Company and the Contractor to formulate a contractual and commercial relationship which offers Company a market competitive deal, or</w:t>
      </w:r>
    </w:p>
    <w:p w14:paraId="25FC8CA1" w14:textId="77777777" w:rsidR="00A46BA5" w:rsidRDefault="00A46BA5" w:rsidP="00A46BA5">
      <w:pPr>
        <w:ind w:left="1701"/>
        <w:jc w:val="both"/>
        <w:rPr>
          <w:rFonts w:ascii="Arial" w:hAnsi="Arial"/>
          <w:sz w:val="24"/>
        </w:rPr>
      </w:pPr>
    </w:p>
    <w:p w14:paraId="64ABC744" w14:textId="511D92A0" w:rsidR="00A46BA5" w:rsidRDefault="00A46BA5" w:rsidP="00A46BA5">
      <w:pPr>
        <w:tabs>
          <w:tab w:val="num" w:pos="-426"/>
        </w:tabs>
        <w:ind w:left="1701"/>
        <w:jc w:val="both"/>
        <w:rPr>
          <w:rFonts w:ascii="Arial" w:hAnsi="Arial"/>
          <w:sz w:val="24"/>
        </w:rPr>
      </w:pPr>
      <w:r>
        <w:rPr>
          <w:rFonts w:ascii="Arial" w:hAnsi="Arial"/>
          <w:b/>
          <w:sz w:val="24"/>
        </w:rPr>
        <w:t>Indirect negotiation</w:t>
      </w:r>
      <w:r>
        <w:rPr>
          <w:rFonts w:ascii="Arial" w:hAnsi="Arial"/>
          <w:sz w:val="24"/>
        </w:rPr>
        <w:t xml:space="preserve"> -</w:t>
      </w:r>
      <w:r>
        <w:rPr>
          <w:rFonts w:ascii="Arial" w:hAnsi="Arial"/>
          <w:b/>
          <w:sz w:val="24"/>
        </w:rPr>
        <w:t xml:space="preserve"> </w:t>
      </w:r>
      <w:r>
        <w:rPr>
          <w:rFonts w:ascii="Arial" w:hAnsi="Arial"/>
          <w:sz w:val="24"/>
        </w:rPr>
        <w:t>where negotiation is between a third party acting on behalf of the Company and the Contractor(s) to formulate a contractual and commercial relationship which offers Company a market competitive deal.</w:t>
      </w:r>
    </w:p>
    <w:p w14:paraId="2D08602F" w14:textId="77777777" w:rsidR="00A46BA5" w:rsidRDefault="00A46BA5" w:rsidP="00A46BA5">
      <w:pPr>
        <w:ind w:left="1701" w:hanging="850"/>
        <w:rPr>
          <w:rFonts w:ascii="Arial" w:hAnsi="Arial"/>
          <w:b/>
          <w:sz w:val="24"/>
        </w:rPr>
      </w:pPr>
    </w:p>
    <w:p w14:paraId="355EB4CE" w14:textId="77777777" w:rsidR="00A46BA5" w:rsidRDefault="00A46BA5" w:rsidP="00A46BA5">
      <w:pPr>
        <w:ind w:left="1701" w:hanging="850"/>
        <w:rPr>
          <w:rFonts w:ascii="Arial" w:hAnsi="Arial"/>
          <w:b/>
          <w:sz w:val="24"/>
        </w:rPr>
      </w:pPr>
      <w:r>
        <w:rPr>
          <w:rFonts w:ascii="Arial" w:hAnsi="Arial"/>
          <w:b/>
          <w:sz w:val="24"/>
        </w:rPr>
        <w:t>(v)</w:t>
      </w:r>
      <w:r>
        <w:rPr>
          <w:rFonts w:ascii="Arial" w:hAnsi="Arial"/>
          <w:b/>
          <w:sz w:val="24"/>
        </w:rPr>
        <w:tab/>
        <w:t>Partnering / Alliancing</w:t>
      </w:r>
    </w:p>
    <w:p w14:paraId="0D4B127D" w14:textId="77777777" w:rsidR="00A46BA5" w:rsidRDefault="00A46BA5" w:rsidP="00A46BA5">
      <w:pPr>
        <w:ind w:left="1701" w:hanging="850"/>
        <w:rPr>
          <w:rFonts w:ascii="Arial" w:hAnsi="Arial"/>
          <w:sz w:val="24"/>
        </w:rPr>
      </w:pPr>
      <w:r>
        <w:rPr>
          <w:rFonts w:ascii="Arial" w:hAnsi="Arial"/>
          <w:sz w:val="24"/>
        </w:rPr>
        <w:t xml:space="preserve"> </w:t>
      </w:r>
    </w:p>
    <w:p w14:paraId="1410FC1C" w14:textId="5E3B9D58" w:rsidR="00A46BA5" w:rsidRDefault="00A46BA5" w:rsidP="00A46BA5">
      <w:pPr>
        <w:ind w:left="1701"/>
        <w:jc w:val="both"/>
        <w:rPr>
          <w:rFonts w:ascii="Arial" w:hAnsi="Arial"/>
          <w:sz w:val="24"/>
        </w:rPr>
      </w:pPr>
      <w:r>
        <w:rPr>
          <w:rFonts w:ascii="Arial" w:hAnsi="Arial"/>
          <w:sz w:val="24"/>
        </w:rPr>
        <w:t xml:space="preserve">This approach is typically used when </w:t>
      </w:r>
      <w:r w:rsidR="000063AC">
        <w:rPr>
          <w:rFonts w:ascii="Arial" w:hAnsi="Arial"/>
          <w:sz w:val="24"/>
        </w:rPr>
        <w:t>entering</w:t>
      </w:r>
      <w:r>
        <w:rPr>
          <w:rFonts w:ascii="Arial" w:hAnsi="Arial"/>
          <w:sz w:val="24"/>
        </w:rPr>
        <w:t xml:space="preserve"> a </w:t>
      </w:r>
      <w:r w:rsidR="00996677">
        <w:rPr>
          <w:rFonts w:ascii="Arial" w:hAnsi="Arial"/>
          <w:sz w:val="24"/>
        </w:rPr>
        <w:t>longer-term</w:t>
      </w:r>
      <w:r>
        <w:rPr>
          <w:rFonts w:ascii="Arial" w:hAnsi="Arial"/>
          <w:sz w:val="24"/>
        </w:rPr>
        <w:t xml:space="preserve"> contractual arrangement where company and contractor collaborate to deliver or produce enhanced business results, typically linked to a risk and reward mechanism.</w:t>
      </w:r>
    </w:p>
    <w:p w14:paraId="348D98F0" w14:textId="77777777" w:rsidR="0080028A" w:rsidRDefault="0080028A" w:rsidP="00A46BA5">
      <w:pPr>
        <w:ind w:left="1701"/>
        <w:jc w:val="both"/>
        <w:rPr>
          <w:rFonts w:ascii="Arial" w:hAnsi="Arial"/>
          <w:sz w:val="24"/>
        </w:rPr>
      </w:pPr>
    </w:p>
    <w:p w14:paraId="45185767" w14:textId="77777777" w:rsidR="00A46BA5" w:rsidRDefault="00A46BA5" w:rsidP="00A46BA5">
      <w:pPr>
        <w:ind w:left="851" w:hanging="851"/>
        <w:jc w:val="both"/>
        <w:rPr>
          <w:rFonts w:ascii="Arial" w:hAnsi="Arial"/>
          <w:b/>
          <w:sz w:val="24"/>
        </w:rPr>
      </w:pPr>
      <w:bookmarkStart w:id="4" w:name="_Toc428090136"/>
      <w:bookmarkStart w:id="5" w:name="_Toc429733947"/>
      <w:bookmarkStart w:id="6" w:name="_Toc429841388"/>
      <w:bookmarkStart w:id="7" w:name="_Toc434837323"/>
    </w:p>
    <w:p w14:paraId="1134932E" w14:textId="77777777" w:rsidR="00BC7048" w:rsidRDefault="00BC7048" w:rsidP="00A46BA5">
      <w:pPr>
        <w:ind w:left="851" w:hanging="851"/>
        <w:jc w:val="both"/>
        <w:rPr>
          <w:rFonts w:ascii="Arial" w:hAnsi="Arial"/>
          <w:b/>
          <w:sz w:val="24"/>
        </w:rPr>
      </w:pPr>
    </w:p>
    <w:p w14:paraId="59208B27" w14:textId="77777777" w:rsidR="00BC7048" w:rsidRDefault="00BC7048" w:rsidP="00A46BA5">
      <w:pPr>
        <w:ind w:left="851" w:hanging="851"/>
        <w:jc w:val="both"/>
        <w:rPr>
          <w:rFonts w:ascii="Arial" w:hAnsi="Arial"/>
          <w:b/>
          <w:sz w:val="24"/>
        </w:rPr>
      </w:pPr>
    </w:p>
    <w:p w14:paraId="6E757FA1" w14:textId="77777777" w:rsidR="00BC7048" w:rsidRDefault="00BC7048" w:rsidP="00A46BA5">
      <w:pPr>
        <w:ind w:left="851" w:hanging="851"/>
        <w:jc w:val="both"/>
        <w:rPr>
          <w:rFonts w:ascii="Arial" w:hAnsi="Arial"/>
          <w:b/>
          <w:sz w:val="24"/>
        </w:rPr>
      </w:pPr>
    </w:p>
    <w:p w14:paraId="2FE14318" w14:textId="77777777" w:rsidR="00BC7048" w:rsidRDefault="00BC7048" w:rsidP="00A46BA5">
      <w:pPr>
        <w:ind w:left="851" w:hanging="851"/>
        <w:jc w:val="both"/>
        <w:rPr>
          <w:rFonts w:ascii="Arial" w:hAnsi="Arial"/>
          <w:b/>
          <w:sz w:val="24"/>
        </w:rPr>
      </w:pPr>
    </w:p>
    <w:p w14:paraId="40379458" w14:textId="77777777" w:rsidR="00BC7048" w:rsidRDefault="00BC7048" w:rsidP="00A46BA5">
      <w:pPr>
        <w:ind w:left="851" w:hanging="851"/>
        <w:jc w:val="both"/>
        <w:rPr>
          <w:rFonts w:ascii="Arial" w:hAnsi="Arial"/>
          <w:b/>
          <w:sz w:val="24"/>
        </w:rPr>
      </w:pPr>
    </w:p>
    <w:p w14:paraId="2EBC2872" w14:textId="77777777" w:rsidR="00BC7048" w:rsidRDefault="00BC7048" w:rsidP="00A46BA5">
      <w:pPr>
        <w:ind w:left="851" w:hanging="851"/>
        <w:jc w:val="both"/>
        <w:rPr>
          <w:rFonts w:ascii="Arial" w:hAnsi="Arial"/>
          <w:b/>
          <w:sz w:val="24"/>
        </w:rPr>
      </w:pPr>
    </w:p>
    <w:p w14:paraId="563E721E" w14:textId="77777777" w:rsidR="00BC7048" w:rsidRDefault="00BC7048" w:rsidP="00A46BA5">
      <w:pPr>
        <w:ind w:left="851" w:hanging="851"/>
        <w:jc w:val="both"/>
        <w:rPr>
          <w:rFonts w:ascii="Arial" w:hAnsi="Arial"/>
          <w:b/>
          <w:sz w:val="24"/>
        </w:rPr>
      </w:pPr>
    </w:p>
    <w:p w14:paraId="6324D96A" w14:textId="77777777" w:rsidR="00BC7048" w:rsidRDefault="00BC7048" w:rsidP="00A46BA5">
      <w:pPr>
        <w:ind w:left="851" w:hanging="851"/>
        <w:jc w:val="both"/>
        <w:rPr>
          <w:rFonts w:ascii="Arial" w:hAnsi="Arial"/>
          <w:b/>
          <w:sz w:val="24"/>
        </w:rPr>
      </w:pPr>
    </w:p>
    <w:p w14:paraId="30CB98FF" w14:textId="77777777" w:rsidR="00BC7048" w:rsidRDefault="00BC7048" w:rsidP="00A46BA5">
      <w:pPr>
        <w:ind w:left="851" w:hanging="851"/>
        <w:jc w:val="both"/>
        <w:rPr>
          <w:rFonts w:ascii="Arial" w:hAnsi="Arial"/>
          <w:b/>
          <w:sz w:val="24"/>
        </w:rPr>
      </w:pPr>
    </w:p>
    <w:p w14:paraId="18F2F86D" w14:textId="77777777" w:rsidR="00BC7048" w:rsidRDefault="00BC7048" w:rsidP="00A46BA5">
      <w:pPr>
        <w:ind w:left="851" w:hanging="851"/>
        <w:jc w:val="both"/>
        <w:rPr>
          <w:rFonts w:ascii="Arial" w:hAnsi="Arial"/>
          <w:b/>
          <w:sz w:val="24"/>
        </w:rPr>
      </w:pPr>
    </w:p>
    <w:p w14:paraId="440824FD" w14:textId="77777777" w:rsidR="00BC7048" w:rsidRDefault="00BC7048" w:rsidP="00A46BA5">
      <w:pPr>
        <w:ind w:left="851" w:hanging="851"/>
        <w:jc w:val="both"/>
        <w:rPr>
          <w:rFonts w:ascii="Arial" w:hAnsi="Arial"/>
          <w:b/>
          <w:sz w:val="24"/>
        </w:rPr>
      </w:pPr>
    </w:p>
    <w:p w14:paraId="4D98FD07" w14:textId="77777777" w:rsidR="00BC7048" w:rsidRDefault="00BC7048" w:rsidP="00A46BA5">
      <w:pPr>
        <w:ind w:left="851" w:hanging="851"/>
        <w:jc w:val="both"/>
        <w:rPr>
          <w:rFonts w:ascii="Arial" w:hAnsi="Arial"/>
          <w:b/>
          <w:sz w:val="24"/>
        </w:rPr>
      </w:pPr>
    </w:p>
    <w:p w14:paraId="2108C1BA" w14:textId="77777777" w:rsidR="00BC7048" w:rsidRDefault="00BC7048" w:rsidP="00A46BA5">
      <w:pPr>
        <w:ind w:left="851" w:hanging="851"/>
        <w:jc w:val="both"/>
        <w:rPr>
          <w:rFonts w:ascii="Arial" w:hAnsi="Arial"/>
          <w:b/>
          <w:sz w:val="24"/>
        </w:rPr>
      </w:pPr>
    </w:p>
    <w:p w14:paraId="64E64EED" w14:textId="77777777" w:rsidR="00BC7048" w:rsidRDefault="00BC7048" w:rsidP="00A46BA5">
      <w:pPr>
        <w:ind w:left="851" w:hanging="851"/>
        <w:jc w:val="both"/>
        <w:rPr>
          <w:rFonts w:ascii="Arial" w:hAnsi="Arial"/>
          <w:b/>
          <w:sz w:val="24"/>
        </w:rPr>
      </w:pPr>
    </w:p>
    <w:p w14:paraId="1F32CABF" w14:textId="77777777" w:rsidR="00BC7048" w:rsidRDefault="00BC7048" w:rsidP="00A46BA5">
      <w:pPr>
        <w:ind w:left="851" w:hanging="851"/>
        <w:jc w:val="both"/>
        <w:rPr>
          <w:rFonts w:ascii="Arial" w:hAnsi="Arial"/>
          <w:b/>
          <w:sz w:val="24"/>
        </w:rPr>
      </w:pPr>
    </w:p>
    <w:p w14:paraId="504B095A" w14:textId="77777777" w:rsidR="00BC7048" w:rsidRDefault="00BC7048" w:rsidP="00A46BA5">
      <w:pPr>
        <w:ind w:left="851" w:hanging="851"/>
        <w:jc w:val="both"/>
        <w:rPr>
          <w:rFonts w:ascii="Arial" w:hAnsi="Arial"/>
          <w:b/>
          <w:sz w:val="24"/>
        </w:rPr>
      </w:pPr>
    </w:p>
    <w:p w14:paraId="050E1C8C" w14:textId="77777777" w:rsidR="00BC7048" w:rsidRDefault="00BC7048" w:rsidP="00A46BA5">
      <w:pPr>
        <w:ind w:left="851" w:hanging="851"/>
        <w:jc w:val="both"/>
        <w:rPr>
          <w:rFonts w:ascii="Arial" w:hAnsi="Arial"/>
          <w:b/>
          <w:sz w:val="24"/>
        </w:rPr>
      </w:pPr>
    </w:p>
    <w:p w14:paraId="3D851FEE" w14:textId="77777777" w:rsidR="00BC7048" w:rsidRDefault="00BC7048" w:rsidP="00A46BA5">
      <w:pPr>
        <w:ind w:left="851" w:hanging="851"/>
        <w:jc w:val="both"/>
        <w:rPr>
          <w:rFonts w:ascii="Arial" w:hAnsi="Arial"/>
          <w:b/>
          <w:sz w:val="24"/>
        </w:rPr>
      </w:pPr>
    </w:p>
    <w:p w14:paraId="66CC9A3A" w14:textId="77777777" w:rsidR="00BC7048" w:rsidRDefault="00BC7048" w:rsidP="00A46BA5">
      <w:pPr>
        <w:ind w:left="851" w:hanging="851"/>
        <w:jc w:val="both"/>
        <w:rPr>
          <w:rFonts w:ascii="Arial" w:hAnsi="Arial"/>
          <w:b/>
          <w:sz w:val="24"/>
        </w:rPr>
      </w:pPr>
    </w:p>
    <w:p w14:paraId="52B85B92" w14:textId="77777777" w:rsidR="00BC7048" w:rsidRDefault="00BC7048" w:rsidP="00A46BA5">
      <w:pPr>
        <w:ind w:left="851" w:hanging="851"/>
        <w:jc w:val="both"/>
        <w:rPr>
          <w:rFonts w:ascii="Arial" w:hAnsi="Arial"/>
          <w:b/>
          <w:sz w:val="24"/>
        </w:rPr>
      </w:pPr>
    </w:p>
    <w:p w14:paraId="104E1A50" w14:textId="77777777" w:rsidR="00BC7048" w:rsidRDefault="00BC7048" w:rsidP="00A46BA5">
      <w:pPr>
        <w:ind w:left="851" w:hanging="851"/>
        <w:jc w:val="both"/>
        <w:rPr>
          <w:rFonts w:ascii="Arial" w:hAnsi="Arial"/>
          <w:b/>
          <w:sz w:val="24"/>
        </w:rPr>
      </w:pPr>
    </w:p>
    <w:p w14:paraId="79002256" w14:textId="77777777" w:rsidR="00BC7048" w:rsidRDefault="00BC7048" w:rsidP="00A46BA5">
      <w:pPr>
        <w:ind w:left="851" w:hanging="851"/>
        <w:jc w:val="both"/>
        <w:rPr>
          <w:rFonts w:ascii="Arial" w:hAnsi="Arial"/>
          <w:b/>
          <w:sz w:val="24"/>
        </w:rPr>
      </w:pPr>
    </w:p>
    <w:p w14:paraId="43DF0AFD" w14:textId="77777777" w:rsidR="00BC7048" w:rsidRDefault="00BC7048" w:rsidP="00A46BA5">
      <w:pPr>
        <w:ind w:left="851" w:hanging="851"/>
        <w:jc w:val="both"/>
        <w:rPr>
          <w:rFonts w:ascii="Arial" w:hAnsi="Arial"/>
          <w:b/>
          <w:sz w:val="24"/>
        </w:rPr>
      </w:pPr>
    </w:p>
    <w:p w14:paraId="6F5270D3" w14:textId="77777777" w:rsidR="00BC7048" w:rsidRDefault="00BC7048" w:rsidP="00A46BA5">
      <w:pPr>
        <w:ind w:left="851" w:hanging="851"/>
        <w:jc w:val="both"/>
        <w:rPr>
          <w:rFonts w:ascii="Arial" w:hAnsi="Arial"/>
          <w:b/>
          <w:sz w:val="24"/>
        </w:rPr>
      </w:pPr>
    </w:p>
    <w:p w14:paraId="6E15DB2B" w14:textId="77777777" w:rsidR="00BC7048" w:rsidRDefault="00BC7048" w:rsidP="00A46BA5">
      <w:pPr>
        <w:ind w:left="851" w:hanging="851"/>
        <w:jc w:val="both"/>
        <w:rPr>
          <w:rFonts w:ascii="Arial" w:hAnsi="Arial"/>
          <w:b/>
          <w:sz w:val="24"/>
        </w:rPr>
      </w:pPr>
    </w:p>
    <w:p w14:paraId="488D2AFC" w14:textId="77777777" w:rsidR="00BC7048" w:rsidRDefault="00BC7048" w:rsidP="00A46BA5">
      <w:pPr>
        <w:ind w:left="851" w:hanging="851"/>
        <w:jc w:val="both"/>
        <w:rPr>
          <w:rFonts w:ascii="Arial" w:hAnsi="Arial"/>
          <w:b/>
          <w:sz w:val="24"/>
        </w:rPr>
      </w:pPr>
    </w:p>
    <w:p w14:paraId="06C9B1F0" w14:textId="77777777" w:rsidR="00BC7048" w:rsidRDefault="00BC7048" w:rsidP="00A46BA5">
      <w:pPr>
        <w:ind w:left="851" w:hanging="851"/>
        <w:jc w:val="both"/>
        <w:rPr>
          <w:rFonts w:ascii="Arial" w:hAnsi="Arial"/>
          <w:b/>
          <w:sz w:val="24"/>
        </w:rPr>
      </w:pPr>
    </w:p>
    <w:p w14:paraId="02CDC744" w14:textId="77777777" w:rsidR="00BC7048" w:rsidRDefault="00BC7048" w:rsidP="00A46BA5">
      <w:pPr>
        <w:ind w:left="851" w:hanging="851"/>
        <w:jc w:val="both"/>
        <w:rPr>
          <w:rFonts w:ascii="Arial" w:hAnsi="Arial"/>
          <w:b/>
          <w:sz w:val="24"/>
        </w:rPr>
      </w:pPr>
    </w:p>
    <w:p w14:paraId="714B79C8" w14:textId="77777777" w:rsidR="00BC7048" w:rsidRDefault="00BC7048" w:rsidP="00A46BA5">
      <w:pPr>
        <w:ind w:left="851" w:hanging="851"/>
        <w:jc w:val="both"/>
        <w:rPr>
          <w:rFonts w:ascii="Arial" w:hAnsi="Arial"/>
          <w:b/>
          <w:sz w:val="24"/>
        </w:rPr>
      </w:pPr>
    </w:p>
    <w:p w14:paraId="4E9E1DC1" w14:textId="77777777" w:rsidR="00BC7048" w:rsidRDefault="00BC7048" w:rsidP="00A46BA5">
      <w:pPr>
        <w:ind w:left="851" w:hanging="851"/>
        <w:jc w:val="both"/>
        <w:rPr>
          <w:rFonts w:ascii="Arial" w:hAnsi="Arial"/>
          <w:b/>
          <w:sz w:val="24"/>
        </w:rPr>
      </w:pPr>
    </w:p>
    <w:p w14:paraId="45ADF25D" w14:textId="77777777" w:rsidR="00BC7048" w:rsidRDefault="00BC7048" w:rsidP="00A46BA5">
      <w:pPr>
        <w:ind w:left="851" w:hanging="851"/>
        <w:jc w:val="both"/>
        <w:rPr>
          <w:rFonts w:ascii="Arial" w:hAnsi="Arial"/>
          <w:b/>
          <w:sz w:val="24"/>
        </w:rPr>
      </w:pPr>
    </w:p>
    <w:p w14:paraId="5AD2E14D" w14:textId="77777777" w:rsidR="00D903FF" w:rsidRDefault="00D903FF" w:rsidP="00A46BA5">
      <w:pPr>
        <w:ind w:left="851" w:hanging="851"/>
        <w:jc w:val="both"/>
        <w:rPr>
          <w:rFonts w:ascii="Arial" w:hAnsi="Arial"/>
          <w:b/>
          <w:sz w:val="24"/>
        </w:rPr>
      </w:pPr>
    </w:p>
    <w:p w14:paraId="20161AF1" w14:textId="77777777" w:rsidR="000063AC" w:rsidRDefault="000063AC" w:rsidP="00A46BA5">
      <w:pPr>
        <w:ind w:left="851" w:hanging="851"/>
        <w:jc w:val="both"/>
        <w:rPr>
          <w:rFonts w:ascii="Arial" w:hAnsi="Arial"/>
          <w:b/>
          <w:sz w:val="24"/>
        </w:rPr>
      </w:pPr>
    </w:p>
    <w:p w14:paraId="279224B8" w14:textId="77777777" w:rsidR="000063AC" w:rsidRDefault="000063AC" w:rsidP="00A46BA5">
      <w:pPr>
        <w:ind w:left="851" w:hanging="851"/>
        <w:jc w:val="both"/>
        <w:rPr>
          <w:rFonts w:ascii="Arial" w:hAnsi="Arial"/>
          <w:b/>
          <w:sz w:val="24"/>
        </w:rPr>
      </w:pPr>
    </w:p>
    <w:p w14:paraId="098249EA" w14:textId="77777777" w:rsidR="005B4ADD" w:rsidRDefault="005B4ADD" w:rsidP="00A46BA5">
      <w:pPr>
        <w:ind w:left="851" w:hanging="851"/>
        <w:jc w:val="both"/>
        <w:rPr>
          <w:rFonts w:ascii="Arial" w:hAnsi="Arial"/>
          <w:b/>
          <w:sz w:val="24"/>
        </w:rPr>
      </w:pPr>
    </w:p>
    <w:p w14:paraId="5540CC48" w14:textId="77777777" w:rsidR="00A46BA5" w:rsidRDefault="00A46BA5" w:rsidP="00A46BA5">
      <w:pPr>
        <w:ind w:left="851" w:hanging="850"/>
        <w:rPr>
          <w:rFonts w:ascii="Arial" w:hAnsi="Arial"/>
          <w:b/>
          <w:sz w:val="24"/>
        </w:rPr>
      </w:pPr>
      <w:bookmarkStart w:id="8" w:name="_Toc429733948"/>
      <w:bookmarkStart w:id="9" w:name="_Toc429841389"/>
      <w:bookmarkStart w:id="10" w:name="_Toc434837324"/>
      <w:bookmarkEnd w:id="4"/>
      <w:bookmarkEnd w:id="5"/>
      <w:bookmarkEnd w:id="6"/>
      <w:bookmarkEnd w:id="7"/>
    </w:p>
    <w:p w14:paraId="74812D06" w14:textId="665A44E9" w:rsidR="005B4ADD" w:rsidRDefault="00A46BA5" w:rsidP="005B4ADD">
      <w:pPr>
        <w:ind w:left="851" w:hanging="850"/>
        <w:rPr>
          <w:rFonts w:ascii="Arial" w:hAnsi="Arial"/>
          <w:b/>
          <w:sz w:val="24"/>
        </w:rPr>
      </w:pPr>
      <w:r>
        <w:rPr>
          <w:rFonts w:ascii="Arial" w:hAnsi="Arial"/>
          <w:b/>
          <w:sz w:val="24"/>
        </w:rPr>
        <w:br w:type="page"/>
      </w:r>
      <w:bookmarkStart w:id="11" w:name="methodofcompensation"/>
    </w:p>
    <w:p w14:paraId="6F212F30" w14:textId="672344C8" w:rsidR="00A46BA5" w:rsidRPr="001D53B3" w:rsidRDefault="00332F6B" w:rsidP="005B4ADD">
      <w:pPr>
        <w:pStyle w:val="Heading2"/>
        <w:rPr>
          <w:rFonts w:ascii="Arial" w:hAnsi="Arial" w:cs="Arial"/>
          <w:b/>
          <w:bCs/>
          <w:color w:val="auto"/>
        </w:rPr>
      </w:pPr>
      <w:bookmarkStart w:id="12" w:name="_Toc195617895"/>
      <w:r>
        <w:rPr>
          <w:rFonts w:ascii="Arial" w:hAnsi="Arial" w:cs="Arial"/>
          <w:b/>
          <w:bCs/>
          <w:color w:val="auto"/>
        </w:rPr>
        <w:lastRenderedPageBreak/>
        <w:t>4</w:t>
      </w:r>
      <w:r w:rsidR="00A46BA5" w:rsidRPr="001D53B3">
        <w:rPr>
          <w:rFonts w:ascii="Arial" w:hAnsi="Arial" w:cs="Arial"/>
          <w:b/>
          <w:bCs/>
          <w:color w:val="auto"/>
        </w:rPr>
        <w:t>.0</w:t>
      </w:r>
      <w:r w:rsidR="00A46BA5" w:rsidRPr="001D53B3">
        <w:rPr>
          <w:rFonts w:ascii="Arial" w:hAnsi="Arial" w:cs="Arial"/>
          <w:b/>
          <w:bCs/>
          <w:color w:val="auto"/>
        </w:rPr>
        <w:tab/>
      </w:r>
      <w:bookmarkEnd w:id="8"/>
      <w:bookmarkEnd w:id="9"/>
      <w:bookmarkEnd w:id="10"/>
      <w:r w:rsidR="00A46BA5" w:rsidRPr="001D53B3">
        <w:rPr>
          <w:rFonts w:ascii="Arial" w:hAnsi="Arial" w:cs="Arial"/>
          <w:b/>
          <w:bCs/>
          <w:color w:val="auto"/>
        </w:rPr>
        <w:t>METHODS OF COMPENSATION</w:t>
      </w:r>
      <w:bookmarkEnd w:id="12"/>
    </w:p>
    <w:bookmarkEnd w:id="11"/>
    <w:p w14:paraId="671C265E" w14:textId="77777777" w:rsidR="00A46BA5" w:rsidRDefault="00A46BA5" w:rsidP="00A46BA5">
      <w:pPr>
        <w:ind w:left="851"/>
        <w:jc w:val="both"/>
        <w:rPr>
          <w:rFonts w:ascii="Arial" w:hAnsi="Arial"/>
          <w:sz w:val="24"/>
        </w:rPr>
      </w:pPr>
    </w:p>
    <w:p w14:paraId="3DF8CD93" w14:textId="77777777" w:rsidR="00A46BA5" w:rsidRDefault="00A46BA5" w:rsidP="00A46BA5">
      <w:pPr>
        <w:ind w:left="851"/>
        <w:jc w:val="both"/>
        <w:rPr>
          <w:rFonts w:ascii="Arial" w:hAnsi="Arial"/>
          <w:b/>
          <w:sz w:val="24"/>
        </w:rPr>
      </w:pPr>
      <w:r>
        <w:rPr>
          <w:rFonts w:ascii="Arial" w:hAnsi="Arial"/>
          <w:sz w:val="24"/>
        </w:rPr>
        <w:t xml:space="preserve">The method of compensation must be appropriate to the </w:t>
      </w:r>
      <w:proofErr w:type="gramStart"/>
      <w:r>
        <w:rPr>
          <w:rFonts w:ascii="Arial" w:hAnsi="Arial"/>
          <w:sz w:val="24"/>
        </w:rPr>
        <w:t>work</w:t>
      </w:r>
      <w:proofErr w:type="gramEnd"/>
      <w:r>
        <w:rPr>
          <w:rFonts w:ascii="Arial" w:hAnsi="Arial"/>
          <w:sz w:val="24"/>
        </w:rPr>
        <w:t xml:space="preserve"> and the selection should ensure that the Company is not unduly exposed to commercial risk.</w:t>
      </w:r>
    </w:p>
    <w:p w14:paraId="0CF349B0" w14:textId="77777777" w:rsidR="00A46BA5" w:rsidRDefault="00A46BA5" w:rsidP="00A46BA5">
      <w:pPr>
        <w:ind w:left="851" w:hanging="851"/>
        <w:jc w:val="both"/>
        <w:rPr>
          <w:rFonts w:ascii="Arial" w:hAnsi="Arial"/>
          <w:b/>
          <w:color w:val="FF0000"/>
          <w:sz w:val="24"/>
        </w:rPr>
      </w:pPr>
    </w:p>
    <w:p w14:paraId="6C5E8AC6" w14:textId="77777777" w:rsidR="00A46BA5" w:rsidRDefault="00A46BA5" w:rsidP="00A46BA5">
      <w:pPr>
        <w:pStyle w:val="bullet"/>
        <w:spacing w:after="0"/>
        <w:ind w:firstLine="0"/>
        <w:rPr>
          <w:rFonts w:ascii="Arial" w:hAnsi="Arial"/>
          <w:b/>
          <w:color w:val="auto"/>
        </w:rPr>
      </w:pPr>
      <w:r>
        <w:rPr>
          <w:rFonts w:ascii="Arial" w:hAnsi="Arial"/>
          <w:b/>
          <w:color w:val="auto"/>
        </w:rPr>
        <w:t>The following methods of compensation should be considered:</w:t>
      </w:r>
    </w:p>
    <w:p w14:paraId="01FEC3B9" w14:textId="77777777" w:rsidR="00A46BA5" w:rsidRDefault="00A46BA5" w:rsidP="00A46BA5">
      <w:pPr>
        <w:ind w:left="851"/>
        <w:jc w:val="both"/>
        <w:rPr>
          <w:rFonts w:ascii="Arial" w:hAnsi="Arial"/>
          <w:b/>
          <w:sz w:val="24"/>
        </w:rPr>
      </w:pPr>
    </w:p>
    <w:p w14:paraId="25A73200" w14:textId="77777777" w:rsidR="00A46BA5" w:rsidRDefault="00A46BA5" w:rsidP="00A46BA5">
      <w:pPr>
        <w:ind w:left="851" w:hanging="850"/>
        <w:rPr>
          <w:rFonts w:ascii="Arial" w:hAnsi="Arial"/>
          <w:b/>
          <w:sz w:val="24"/>
        </w:rPr>
      </w:pPr>
      <w:r>
        <w:rPr>
          <w:rFonts w:ascii="Arial" w:hAnsi="Arial"/>
          <w:b/>
          <w:sz w:val="24"/>
        </w:rPr>
        <w:t>5.1</w:t>
      </w:r>
      <w:r>
        <w:rPr>
          <w:rFonts w:ascii="Arial" w:hAnsi="Arial"/>
          <w:b/>
          <w:sz w:val="24"/>
        </w:rPr>
        <w:tab/>
        <w:t>Lump Sum</w:t>
      </w:r>
    </w:p>
    <w:p w14:paraId="1A3600C6" w14:textId="77777777" w:rsidR="00A46BA5" w:rsidRDefault="00A46BA5" w:rsidP="00A46BA5">
      <w:pPr>
        <w:ind w:left="851" w:hanging="850"/>
        <w:rPr>
          <w:rFonts w:ascii="Arial" w:hAnsi="Arial"/>
          <w:b/>
          <w:sz w:val="24"/>
        </w:rPr>
      </w:pPr>
    </w:p>
    <w:p w14:paraId="24C85D16" w14:textId="61B54099" w:rsidR="00A46BA5" w:rsidRDefault="00A46BA5" w:rsidP="00A46BA5">
      <w:pPr>
        <w:ind w:left="851"/>
        <w:jc w:val="both"/>
        <w:rPr>
          <w:rFonts w:ascii="Arial" w:hAnsi="Arial"/>
          <w:sz w:val="24"/>
        </w:rPr>
      </w:pPr>
      <w:r>
        <w:rPr>
          <w:rFonts w:ascii="Arial" w:hAnsi="Arial"/>
          <w:sz w:val="24"/>
        </w:rPr>
        <w:t xml:space="preserve">This method essentially entails an all-inclusive fixed price for undertaking and completing the entire scope of work.  To assist the Contractor with cashflow, instalments may be paid as the work progresses. Instalment payments are normally linked to achievement of milestones or provision of key deliverables. </w:t>
      </w:r>
    </w:p>
    <w:p w14:paraId="35A7CE77" w14:textId="77777777" w:rsidR="00A46BA5" w:rsidRDefault="00A46BA5" w:rsidP="00A46BA5">
      <w:pPr>
        <w:ind w:left="851"/>
        <w:jc w:val="both"/>
        <w:rPr>
          <w:rFonts w:ascii="Arial" w:hAnsi="Arial"/>
          <w:sz w:val="24"/>
        </w:rPr>
      </w:pPr>
    </w:p>
    <w:p w14:paraId="01A86AEC" w14:textId="77777777" w:rsidR="00A46BA5" w:rsidRDefault="00A46BA5" w:rsidP="00A46BA5">
      <w:pPr>
        <w:ind w:left="851"/>
        <w:jc w:val="both"/>
        <w:rPr>
          <w:rFonts w:ascii="Arial" w:hAnsi="Arial"/>
          <w:sz w:val="24"/>
        </w:rPr>
      </w:pPr>
      <w:r>
        <w:rPr>
          <w:rFonts w:ascii="Arial" w:hAnsi="Arial"/>
          <w:sz w:val="24"/>
        </w:rPr>
        <w:t>For higher value contracts, the Lump Sum price should be broken down into elements linked to key activities to assist in the identification of anomalies and errors during the evaluation of tenders and in the quantification of variations to the work.</w:t>
      </w:r>
    </w:p>
    <w:p w14:paraId="351AA259" w14:textId="77777777" w:rsidR="00A46BA5" w:rsidRDefault="00A46BA5" w:rsidP="00A46BA5">
      <w:pPr>
        <w:ind w:left="851"/>
        <w:jc w:val="both"/>
        <w:rPr>
          <w:rFonts w:ascii="Arial" w:hAnsi="Arial"/>
          <w:sz w:val="24"/>
        </w:rPr>
      </w:pPr>
    </w:p>
    <w:p w14:paraId="59D2F62A" w14:textId="77777777" w:rsidR="00A46BA5" w:rsidRDefault="00A46BA5" w:rsidP="00A46BA5">
      <w:pPr>
        <w:ind w:left="1701"/>
        <w:jc w:val="both"/>
        <w:rPr>
          <w:rFonts w:ascii="Arial" w:hAnsi="Arial"/>
          <w:sz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394"/>
      </w:tblGrid>
      <w:tr w:rsidR="00A46BA5" w14:paraId="1825167A" w14:textId="77777777" w:rsidTr="009507D3">
        <w:trPr>
          <w:cantSplit/>
        </w:trPr>
        <w:tc>
          <w:tcPr>
            <w:tcW w:w="4111" w:type="dxa"/>
          </w:tcPr>
          <w:p w14:paraId="0D3A99B1" w14:textId="017C26BF" w:rsidR="00A46BA5" w:rsidRDefault="00A46BA5" w:rsidP="009507D3">
            <w:pPr>
              <w:spacing w:before="60" w:after="60"/>
              <w:jc w:val="center"/>
              <w:rPr>
                <w:rFonts w:ascii="Arial" w:hAnsi="Arial"/>
                <w:b/>
                <w:sz w:val="24"/>
              </w:rPr>
            </w:pPr>
            <w:r>
              <w:rPr>
                <w:rFonts w:ascii="Arial" w:hAnsi="Arial"/>
                <w:b/>
                <w:sz w:val="24"/>
              </w:rPr>
              <w:t xml:space="preserve">Advantages </w:t>
            </w:r>
          </w:p>
        </w:tc>
        <w:tc>
          <w:tcPr>
            <w:tcW w:w="4394" w:type="dxa"/>
          </w:tcPr>
          <w:p w14:paraId="1C26D0CD" w14:textId="12E715DA" w:rsidR="00A46BA5" w:rsidRDefault="00A46BA5" w:rsidP="009507D3">
            <w:pPr>
              <w:spacing w:before="60" w:after="60"/>
              <w:jc w:val="center"/>
              <w:rPr>
                <w:rFonts w:ascii="Arial" w:hAnsi="Arial"/>
                <w:b/>
                <w:sz w:val="24"/>
              </w:rPr>
            </w:pPr>
            <w:r>
              <w:rPr>
                <w:rFonts w:ascii="Arial" w:hAnsi="Arial"/>
                <w:b/>
                <w:sz w:val="24"/>
              </w:rPr>
              <w:t xml:space="preserve">Risks  </w:t>
            </w:r>
          </w:p>
        </w:tc>
      </w:tr>
      <w:tr w:rsidR="00A46BA5" w14:paraId="006C09D1" w14:textId="77777777" w:rsidTr="009507D3">
        <w:trPr>
          <w:cantSplit/>
          <w:trHeight w:val="3975"/>
        </w:trPr>
        <w:tc>
          <w:tcPr>
            <w:tcW w:w="4111" w:type="dxa"/>
          </w:tcPr>
          <w:p w14:paraId="61DBFD2B" w14:textId="463E02F8" w:rsidR="00A46BA5" w:rsidRDefault="00A46BA5" w:rsidP="00A46BA5">
            <w:pPr>
              <w:numPr>
                <w:ilvl w:val="0"/>
                <w:numId w:val="7"/>
              </w:numPr>
              <w:spacing w:before="120" w:after="120"/>
              <w:rPr>
                <w:rFonts w:ascii="Arial" w:hAnsi="Arial"/>
                <w:sz w:val="24"/>
                <w:lang w:val="en-US"/>
              </w:rPr>
            </w:pPr>
            <w:r>
              <w:rPr>
                <w:rFonts w:ascii="Arial" w:hAnsi="Arial"/>
                <w:sz w:val="24"/>
                <w:lang w:val="en-US"/>
              </w:rPr>
              <w:t xml:space="preserve">High level of risk assumed by Contractor </w:t>
            </w:r>
          </w:p>
          <w:p w14:paraId="4F8C32F6" w14:textId="77777777" w:rsidR="00A46BA5" w:rsidRDefault="00A46BA5" w:rsidP="00A46BA5">
            <w:pPr>
              <w:numPr>
                <w:ilvl w:val="0"/>
                <w:numId w:val="7"/>
              </w:numPr>
              <w:spacing w:before="120" w:after="120"/>
              <w:rPr>
                <w:rFonts w:ascii="Arial" w:hAnsi="Arial"/>
                <w:sz w:val="24"/>
                <w:lang w:val="en-US"/>
              </w:rPr>
            </w:pPr>
            <w:r>
              <w:rPr>
                <w:rFonts w:ascii="Arial" w:hAnsi="Arial"/>
                <w:sz w:val="24"/>
                <w:lang w:val="en-US"/>
              </w:rPr>
              <w:t>Incentive on Contractor to perform</w:t>
            </w:r>
          </w:p>
          <w:p w14:paraId="222E95B6" w14:textId="77777777" w:rsidR="00A46BA5" w:rsidRDefault="00A46BA5" w:rsidP="00A46BA5">
            <w:pPr>
              <w:numPr>
                <w:ilvl w:val="0"/>
                <w:numId w:val="9"/>
              </w:numPr>
              <w:spacing w:before="120" w:after="120"/>
              <w:rPr>
                <w:rFonts w:ascii="Arial" w:hAnsi="Arial"/>
                <w:sz w:val="24"/>
                <w:lang w:val="en-US"/>
              </w:rPr>
            </w:pPr>
            <w:r>
              <w:rPr>
                <w:rFonts w:ascii="Arial" w:hAnsi="Arial"/>
                <w:sz w:val="24"/>
                <w:lang w:val="en-US"/>
              </w:rPr>
              <w:t xml:space="preserve">Evaluation of tenders is generally easiest (can compare "like with like") </w:t>
            </w:r>
          </w:p>
          <w:p w14:paraId="70322DD9" w14:textId="556BB638" w:rsidR="00A46BA5" w:rsidRDefault="00A46BA5" w:rsidP="00A46BA5">
            <w:pPr>
              <w:numPr>
                <w:ilvl w:val="0"/>
                <w:numId w:val="10"/>
              </w:numPr>
              <w:spacing w:before="120" w:after="120"/>
              <w:rPr>
                <w:rFonts w:ascii="Arial" w:hAnsi="Arial"/>
                <w:sz w:val="24"/>
                <w:lang w:val="en-US"/>
              </w:rPr>
            </w:pPr>
            <w:r>
              <w:rPr>
                <w:rFonts w:ascii="Arial" w:hAnsi="Arial"/>
                <w:sz w:val="24"/>
                <w:lang w:val="en-US"/>
              </w:rPr>
              <w:t xml:space="preserve">Generally easier to administer </w:t>
            </w:r>
          </w:p>
          <w:p w14:paraId="5015C9A7" w14:textId="77777777" w:rsidR="00A46BA5" w:rsidRDefault="00A46BA5" w:rsidP="00A46BA5">
            <w:pPr>
              <w:numPr>
                <w:ilvl w:val="0"/>
                <w:numId w:val="10"/>
              </w:numPr>
              <w:spacing w:before="120" w:after="120"/>
              <w:rPr>
                <w:rFonts w:ascii="Arial" w:hAnsi="Arial"/>
              </w:rPr>
            </w:pPr>
            <w:r>
              <w:rPr>
                <w:rFonts w:ascii="Arial" w:hAnsi="Arial"/>
                <w:sz w:val="24"/>
                <w:lang w:val="en-US"/>
              </w:rPr>
              <w:t>Ability to forecast project cashflow</w:t>
            </w:r>
          </w:p>
        </w:tc>
        <w:tc>
          <w:tcPr>
            <w:tcW w:w="4394" w:type="dxa"/>
          </w:tcPr>
          <w:p w14:paraId="6EE5F431" w14:textId="77777777" w:rsidR="00A46BA5" w:rsidRDefault="00A46BA5" w:rsidP="00A46BA5">
            <w:pPr>
              <w:numPr>
                <w:ilvl w:val="0"/>
                <w:numId w:val="1"/>
              </w:numPr>
              <w:spacing w:before="120" w:after="120"/>
              <w:rPr>
                <w:rFonts w:ascii="Arial" w:hAnsi="Arial"/>
                <w:sz w:val="24"/>
                <w:lang w:val="en-US"/>
              </w:rPr>
            </w:pPr>
            <w:r>
              <w:rPr>
                <w:rFonts w:ascii="Arial" w:hAnsi="Arial"/>
                <w:sz w:val="24"/>
                <w:lang w:val="en-US"/>
              </w:rPr>
              <w:t>Contractor's price may include a significant premium to cover perceived risk</w:t>
            </w:r>
          </w:p>
          <w:p w14:paraId="56ADCCAA" w14:textId="08CA722A" w:rsidR="00A46BA5" w:rsidRDefault="00A46BA5" w:rsidP="00A46BA5">
            <w:pPr>
              <w:numPr>
                <w:ilvl w:val="0"/>
                <w:numId w:val="3"/>
              </w:numPr>
              <w:spacing w:before="120" w:after="120"/>
              <w:rPr>
                <w:rFonts w:ascii="Arial" w:hAnsi="Arial"/>
                <w:sz w:val="24"/>
                <w:lang w:val="en-US"/>
              </w:rPr>
            </w:pPr>
            <w:r>
              <w:rPr>
                <w:rFonts w:ascii="Arial" w:hAnsi="Arial"/>
                <w:sz w:val="24"/>
                <w:lang w:val="en-US"/>
              </w:rPr>
              <w:t xml:space="preserve">Possibility of Contractor cutting corners on quality </w:t>
            </w:r>
          </w:p>
          <w:p w14:paraId="3A4DB3F0" w14:textId="77777777" w:rsidR="00A46BA5" w:rsidRDefault="00A46BA5" w:rsidP="00A46BA5">
            <w:pPr>
              <w:numPr>
                <w:ilvl w:val="0"/>
                <w:numId w:val="5"/>
              </w:numPr>
              <w:spacing w:before="120" w:after="120"/>
              <w:rPr>
                <w:rFonts w:ascii="Arial" w:hAnsi="Arial"/>
                <w:sz w:val="24"/>
                <w:lang w:val="en-US"/>
              </w:rPr>
            </w:pPr>
            <w:r>
              <w:rPr>
                <w:rFonts w:ascii="Arial" w:hAnsi="Arial"/>
                <w:sz w:val="24"/>
                <w:lang w:val="en-US"/>
              </w:rPr>
              <w:t xml:space="preserve">Failure to control change by Company may result in claims </w:t>
            </w:r>
          </w:p>
          <w:p w14:paraId="51FCC06C" w14:textId="305EE942" w:rsidR="00A46BA5" w:rsidRDefault="00A46BA5" w:rsidP="00A46BA5">
            <w:pPr>
              <w:numPr>
                <w:ilvl w:val="0"/>
                <w:numId w:val="6"/>
              </w:numPr>
              <w:spacing w:before="120" w:after="120"/>
              <w:rPr>
                <w:rFonts w:ascii="Arial" w:hAnsi="Arial"/>
                <w:sz w:val="24"/>
              </w:rPr>
            </w:pPr>
            <w:r>
              <w:rPr>
                <w:rFonts w:ascii="Arial" w:hAnsi="Arial"/>
                <w:sz w:val="24"/>
              </w:rPr>
              <w:t>Not well suited for poorly defined Scopes of Work</w:t>
            </w:r>
          </w:p>
          <w:p w14:paraId="686EDEF3" w14:textId="44276836" w:rsidR="00A46BA5" w:rsidRDefault="00A46BA5" w:rsidP="00A46BA5">
            <w:pPr>
              <w:numPr>
                <w:ilvl w:val="0"/>
                <w:numId w:val="6"/>
              </w:numPr>
              <w:spacing w:before="120" w:after="120"/>
              <w:rPr>
                <w:rFonts w:ascii="Arial" w:hAnsi="Arial"/>
              </w:rPr>
            </w:pPr>
            <w:r>
              <w:rPr>
                <w:rFonts w:ascii="Arial" w:hAnsi="Arial"/>
                <w:sz w:val="24"/>
              </w:rPr>
              <w:t xml:space="preserve">Requires a significant effort up-front to agree a specification </w:t>
            </w:r>
          </w:p>
        </w:tc>
      </w:tr>
    </w:tbl>
    <w:p w14:paraId="4BC13BDD" w14:textId="77777777" w:rsidR="00A46BA5" w:rsidRDefault="00A46BA5" w:rsidP="00A46BA5">
      <w:pPr>
        <w:ind w:left="851" w:hanging="851"/>
        <w:rPr>
          <w:rFonts w:ascii="Arial" w:hAnsi="Arial"/>
          <w:b/>
          <w:sz w:val="24"/>
        </w:rPr>
      </w:pPr>
    </w:p>
    <w:p w14:paraId="4F227C2E" w14:textId="77777777" w:rsidR="00A46BA5" w:rsidRDefault="00A46BA5" w:rsidP="00A46BA5">
      <w:pPr>
        <w:ind w:left="851" w:hanging="851"/>
        <w:rPr>
          <w:rFonts w:ascii="Arial" w:hAnsi="Arial"/>
          <w:b/>
          <w:sz w:val="24"/>
        </w:rPr>
      </w:pPr>
      <w:r>
        <w:rPr>
          <w:rFonts w:ascii="Arial" w:hAnsi="Arial"/>
          <w:b/>
          <w:sz w:val="24"/>
        </w:rPr>
        <w:br w:type="page"/>
      </w:r>
    </w:p>
    <w:p w14:paraId="52DDAEB4" w14:textId="77777777" w:rsidR="00BC7048" w:rsidRDefault="00BC7048" w:rsidP="00A46BA5">
      <w:pPr>
        <w:ind w:left="851" w:hanging="851"/>
        <w:rPr>
          <w:rFonts w:ascii="Arial" w:hAnsi="Arial"/>
          <w:b/>
          <w:sz w:val="24"/>
        </w:rPr>
      </w:pPr>
    </w:p>
    <w:p w14:paraId="7902CF6B" w14:textId="57898C71" w:rsidR="00A46BA5" w:rsidRDefault="00A46BA5" w:rsidP="00A46BA5">
      <w:pPr>
        <w:ind w:left="851" w:hanging="851"/>
        <w:rPr>
          <w:rFonts w:ascii="Arial" w:hAnsi="Arial"/>
          <w:b/>
          <w:sz w:val="24"/>
        </w:rPr>
      </w:pPr>
      <w:r>
        <w:rPr>
          <w:rFonts w:ascii="Arial" w:hAnsi="Arial"/>
          <w:b/>
          <w:sz w:val="24"/>
        </w:rPr>
        <w:t>5.2</w:t>
      </w:r>
      <w:r>
        <w:rPr>
          <w:rFonts w:ascii="Arial" w:hAnsi="Arial"/>
          <w:b/>
          <w:sz w:val="24"/>
        </w:rPr>
        <w:tab/>
        <w:t>Schedule of Composite Rates/Unit Rates</w:t>
      </w:r>
    </w:p>
    <w:p w14:paraId="7BDC2C7C" w14:textId="77777777" w:rsidR="00A46BA5" w:rsidRDefault="00A46BA5" w:rsidP="00A46BA5">
      <w:pPr>
        <w:ind w:left="851" w:hanging="851"/>
        <w:rPr>
          <w:rFonts w:ascii="Arial" w:hAnsi="Arial"/>
          <w:b/>
          <w:sz w:val="24"/>
        </w:rPr>
      </w:pPr>
    </w:p>
    <w:p w14:paraId="48A3918C" w14:textId="3F723819" w:rsidR="00A46BA5" w:rsidRDefault="00A46BA5" w:rsidP="00A46BA5">
      <w:pPr>
        <w:ind w:left="851"/>
        <w:jc w:val="both"/>
        <w:rPr>
          <w:rFonts w:ascii="Arial" w:hAnsi="Arial"/>
          <w:sz w:val="24"/>
        </w:rPr>
      </w:pPr>
      <w:r>
        <w:rPr>
          <w:rFonts w:ascii="Arial" w:hAnsi="Arial"/>
          <w:sz w:val="24"/>
        </w:rPr>
        <w:t>Contract remuneration under a Schedule of Composite or Unit Rates involves a fixed rate per unit linked to time expended and/or quantity of materials procured or fabricated.  Unit of time payments are based on hours or days expended, multiplied by the applicable rate.  Cost recovery, profit and overheads are usually built into each rate. Alternatively, an additional incremental fee may be charged on overall volume to recover overheads, profit or other costs.</w:t>
      </w:r>
    </w:p>
    <w:p w14:paraId="4613957B" w14:textId="77777777" w:rsidR="00A46BA5" w:rsidRDefault="00A46BA5" w:rsidP="00A46BA5">
      <w:pPr>
        <w:ind w:left="851" w:hanging="851"/>
        <w:rPr>
          <w:rFonts w:ascii="Arial" w:hAnsi="Arial"/>
          <w:b/>
          <w:sz w:val="24"/>
        </w:rPr>
      </w:pPr>
    </w:p>
    <w:p w14:paraId="785A5F8E" w14:textId="551AA4E5" w:rsidR="00A46BA5" w:rsidRDefault="00A46BA5" w:rsidP="00A46BA5">
      <w:pPr>
        <w:ind w:left="851"/>
        <w:jc w:val="both"/>
        <w:rPr>
          <w:rFonts w:ascii="Arial" w:hAnsi="Arial"/>
          <w:sz w:val="24"/>
        </w:rPr>
      </w:pPr>
      <w:r>
        <w:rPr>
          <w:rFonts w:ascii="Arial" w:hAnsi="Arial"/>
          <w:sz w:val="24"/>
        </w:rPr>
        <w:t>This method is most suitable when the technical or skills requirements of the work are known, but the volume or individual task requirements are difficult to forecast.  Examples are construction/fabrication, design engineering and document control services.</w:t>
      </w:r>
    </w:p>
    <w:p w14:paraId="3E10BC8D" w14:textId="77777777" w:rsidR="00A46BA5" w:rsidRDefault="00A46BA5" w:rsidP="00A46BA5">
      <w:pPr>
        <w:ind w:left="851"/>
        <w:jc w:val="both"/>
        <w:rPr>
          <w:rFonts w:ascii="Arial" w:hAnsi="Arial"/>
          <w:b/>
          <w:sz w:val="24"/>
        </w:rPr>
      </w:pPr>
    </w:p>
    <w:p w14:paraId="231E51B4" w14:textId="77777777" w:rsidR="00A46BA5" w:rsidRDefault="00A46BA5" w:rsidP="00A46BA5">
      <w:pPr>
        <w:ind w:left="851"/>
        <w:jc w:val="both"/>
        <w:rPr>
          <w:rFonts w:ascii="Arial" w:hAnsi="Arial"/>
          <w:b/>
          <w:sz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394"/>
      </w:tblGrid>
      <w:tr w:rsidR="00A46BA5" w14:paraId="53CD9BB4" w14:textId="77777777" w:rsidTr="009507D3">
        <w:trPr>
          <w:cantSplit/>
        </w:trPr>
        <w:tc>
          <w:tcPr>
            <w:tcW w:w="4111" w:type="dxa"/>
          </w:tcPr>
          <w:p w14:paraId="5D31301E" w14:textId="77777777" w:rsidR="00A46BA5" w:rsidRDefault="00A46BA5" w:rsidP="009507D3">
            <w:pPr>
              <w:spacing w:before="120" w:after="120"/>
              <w:jc w:val="center"/>
              <w:rPr>
                <w:rFonts w:ascii="Arial" w:hAnsi="Arial"/>
                <w:b/>
                <w:sz w:val="24"/>
              </w:rPr>
            </w:pPr>
            <w:r>
              <w:rPr>
                <w:rFonts w:ascii="Arial" w:hAnsi="Arial"/>
                <w:b/>
                <w:sz w:val="24"/>
              </w:rPr>
              <w:t>Advantages</w:t>
            </w:r>
          </w:p>
        </w:tc>
        <w:tc>
          <w:tcPr>
            <w:tcW w:w="4394" w:type="dxa"/>
          </w:tcPr>
          <w:p w14:paraId="430FE4E9" w14:textId="77777777" w:rsidR="00A46BA5" w:rsidRDefault="00A46BA5" w:rsidP="009507D3">
            <w:pPr>
              <w:spacing w:before="120" w:after="120"/>
              <w:jc w:val="center"/>
              <w:rPr>
                <w:rFonts w:ascii="Arial" w:hAnsi="Arial"/>
                <w:b/>
                <w:sz w:val="24"/>
              </w:rPr>
            </w:pPr>
            <w:r>
              <w:rPr>
                <w:rFonts w:ascii="Arial" w:hAnsi="Arial"/>
                <w:b/>
                <w:sz w:val="24"/>
              </w:rPr>
              <w:t>Risks</w:t>
            </w:r>
          </w:p>
        </w:tc>
      </w:tr>
      <w:tr w:rsidR="00A46BA5" w14:paraId="2B35A80C" w14:textId="77777777" w:rsidTr="009507D3">
        <w:trPr>
          <w:cantSplit/>
          <w:trHeight w:val="6466"/>
        </w:trPr>
        <w:tc>
          <w:tcPr>
            <w:tcW w:w="4111" w:type="dxa"/>
          </w:tcPr>
          <w:p w14:paraId="11DB3929" w14:textId="77777777" w:rsidR="00A46BA5" w:rsidRDefault="00A46BA5" w:rsidP="00A46BA5">
            <w:pPr>
              <w:pStyle w:val="bullet"/>
              <w:numPr>
                <w:ilvl w:val="0"/>
                <w:numId w:val="11"/>
              </w:numPr>
              <w:spacing w:before="120" w:after="120"/>
              <w:ind w:left="357" w:right="113" w:hanging="357"/>
              <w:jc w:val="left"/>
              <w:rPr>
                <w:rFonts w:ascii="Arial" w:hAnsi="Arial"/>
                <w:color w:val="auto"/>
                <w:sz w:val="22"/>
                <w:lang w:val="en-US"/>
              </w:rPr>
            </w:pPr>
            <w:r>
              <w:rPr>
                <w:rFonts w:ascii="Arial" w:hAnsi="Arial"/>
                <w:color w:val="auto"/>
                <w:sz w:val="22"/>
                <w:lang w:val="en-US"/>
              </w:rPr>
              <w:t xml:space="preserve">High level of risk assumed by Contractors for estimating quantities </w:t>
            </w:r>
          </w:p>
          <w:p w14:paraId="222C9B89" w14:textId="77777777" w:rsidR="00A46BA5" w:rsidRDefault="00A46BA5" w:rsidP="00A46BA5">
            <w:pPr>
              <w:pStyle w:val="bullet"/>
              <w:numPr>
                <w:ilvl w:val="0"/>
                <w:numId w:val="12"/>
              </w:numPr>
              <w:spacing w:before="120" w:after="120"/>
              <w:ind w:left="357" w:right="113" w:hanging="357"/>
              <w:jc w:val="left"/>
              <w:rPr>
                <w:rFonts w:ascii="Arial" w:hAnsi="Arial"/>
                <w:color w:val="auto"/>
                <w:sz w:val="22"/>
              </w:rPr>
            </w:pPr>
            <w:r>
              <w:rPr>
                <w:rFonts w:ascii="Arial" w:hAnsi="Arial"/>
                <w:color w:val="auto"/>
                <w:sz w:val="22"/>
              </w:rPr>
              <w:t xml:space="preserve">Work may be conducted without a fully defined scope </w:t>
            </w:r>
          </w:p>
          <w:p w14:paraId="24578EBE" w14:textId="77777777" w:rsidR="00A46BA5" w:rsidRDefault="00A46BA5" w:rsidP="00A46BA5">
            <w:pPr>
              <w:pStyle w:val="bullet"/>
              <w:numPr>
                <w:ilvl w:val="0"/>
                <w:numId w:val="11"/>
              </w:numPr>
              <w:spacing w:before="120" w:after="120"/>
              <w:ind w:left="357" w:right="113" w:hanging="357"/>
              <w:jc w:val="left"/>
              <w:rPr>
                <w:rFonts w:ascii="Arial" w:hAnsi="Arial"/>
                <w:color w:val="auto"/>
                <w:sz w:val="22"/>
                <w:lang w:val="en-US"/>
              </w:rPr>
            </w:pPr>
            <w:r>
              <w:rPr>
                <w:rFonts w:ascii="Arial" w:hAnsi="Arial"/>
                <w:color w:val="auto"/>
                <w:sz w:val="22"/>
              </w:rPr>
              <w:t xml:space="preserve">The quantity of work, within limits, may vary without changes in pricing or administration </w:t>
            </w:r>
          </w:p>
          <w:p w14:paraId="4E0BDCCC" w14:textId="77777777" w:rsidR="00A46BA5" w:rsidRDefault="00A46BA5" w:rsidP="00A46BA5">
            <w:pPr>
              <w:pStyle w:val="bullet"/>
              <w:numPr>
                <w:ilvl w:val="0"/>
                <w:numId w:val="11"/>
              </w:numPr>
              <w:spacing w:before="120" w:after="120"/>
              <w:ind w:left="357" w:right="113" w:hanging="357"/>
              <w:jc w:val="left"/>
              <w:rPr>
                <w:rFonts w:ascii="Arial" w:hAnsi="Arial"/>
                <w:color w:val="auto"/>
                <w:sz w:val="22"/>
                <w:lang w:val="en-US"/>
              </w:rPr>
            </w:pPr>
            <w:r>
              <w:rPr>
                <w:rFonts w:ascii="Arial" w:hAnsi="Arial"/>
                <w:color w:val="auto"/>
                <w:sz w:val="22"/>
                <w:lang w:val="en-US"/>
              </w:rPr>
              <w:t xml:space="preserve">Composite / Unit rate estimate of final cost offers more certainty and accuracy than reimbursable </w:t>
            </w:r>
          </w:p>
          <w:p w14:paraId="38226CC7" w14:textId="77777777" w:rsidR="00A46BA5" w:rsidRDefault="00A46BA5" w:rsidP="00A46BA5">
            <w:pPr>
              <w:pStyle w:val="bullet"/>
              <w:numPr>
                <w:ilvl w:val="0"/>
                <w:numId w:val="11"/>
              </w:numPr>
              <w:spacing w:before="120" w:after="120"/>
              <w:ind w:left="357" w:right="113" w:hanging="357"/>
              <w:jc w:val="left"/>
              <w:rPr>
                <w:rFonts w:ascii="Arial" w:hAnsi="Arial"/>
                <w:color w:val="auto"/>
                <w:sz w:val="22"/>
                <w:lang w:val="en-US"/>
              </w:rPr>
            </w:pPr>
            <w:r>
              <w:rPr>
                <w:rFonts w:ascii="Arial" w:hAnsi="Arial"/>
                <w:color w:val="auto"/>
                <w:sz w:val="22"/>
                <w:lang w:val="en-US"/>
              </w:rPr>
              <w:t>Variations to the Scope of Work easier to quantify</w:t>
            </w:r>
          </w:p>
          <w:p w14:paraId="1BB3F300" w14:textId="77777777" w:rsidR="00A46BA5" w:rsidRDefault="00A46BA5" w:rsidP="00A46BA5">
            <w:pPr>
              <w:pStyle w:val="bullet"/>
              <w:numPr>
                <w:ilvl w:val="0"/>
                <w:numId w:val="11"/>
              </w:numPr>
              <w:spacing w:before="120" w:after="120"/>
              <w:ind w:left="357" w:right="113" w:hanging="357"/>
              <w:jc w:val="left"/>
              <w:rPr>
                <w:rFonts w:ascii="Arial" w:hAnsi="Arial"/>
                <w:color w:val="auto"/>
                <w:sz w:val="22"/>
                <w:lang w:val="en-US"/>
              </w:rPr>
            </w:pPr>
            <w:r>
              <w:rPr>
                <w:rFonts w:ascii="Arial" w:hAnsi="Arial"/>
                <w:color w:val="auto"/>
                <w:sz w:val="22"/>
                <w:lang w:val="en-US"/>
              </w:rPr>
              <w:t xml:space="preserve">Greater certainty in evaluating tenders than reimbursable </w:t>
            </w:r>
          </w:p>
          <w:p w14:paraId="617DFF45" w14:textId="77777777" w:rsidR="00A46BA5" w:rsidRDefault="00A46BA5" w:rsidP="00A46BA5">
            <w:pPr>
              <w:pStyle w:val="bullet"/>
              <w:numPr>
                <w:ilvl w:val="0"/>
                <w:numId w:val="11"/>
              </w:numPr>
              <w:spacing w:before="120" w:after="120"/>
              <w:ind w:left="357" w:right="113" w:hanging="357"/>
              <w:jc w:val="left"/>
              <w:rPr>
                <w:rFonts w:ascii="Arial" w:hAnsi="Arial"/>
                <w:color w:val="auto"/>
                <w:sz w:val="22"/>
              </w:rPr>
            </w:pPr>
            <w:r>
              <w:rPr>
                <w:rFonts w:ascii="Arial" w:hAnsi="Arial"/>
                <w:color w:val="auto"/>
                <w:sz w:val="22"/>
                <w:lang w:val="en-US"/>
              </w:rPr>
              <w:t>Provides a good basis for estimating costs of design alternatives</w:t>
            </w:r>
          </w:p>
        </w:tc>
        <w:tc>
          <w:tcPr>
            <w:tcW w:w="4394" w:type="dxa"/>
          </w:tcPr>
          <w:p w14:paraId="39B6E3B7" w14:textId="77777777" w:rsidR="00A46BA5" w:rsidRDefault="00A46BA5" w:rsidP="00A46BA5">
            <w:pPr>
              <w:pStyle w:val="bullet"/>
              <w:numPr>
                <w:ilvl w:val="0"/>
                <w:numId w:val="14"/>
              </w:numPr>
              <w:spacing w:before="120" w:after="120"/>
              <w:ind w:left="357" w:right="113" w:hanging="357"/>
              <w:jc w:val="left"/>
              <w:rPr>
                <w:rFonts w:ascii="Arial" w:hAnsi="Arial"/>
                <w:color w:val="auto"/>
                <w:sz w:val="22"/>
              </w:rPr>
            </w:pPr>
            <w:r>
              <w:rPr>
                <w:rFonts w:ascii="Arial" w:hAnsi="Arial"/>
                <w:color w:val="auto"/>
                <w:sz w:val="22"/>
                <w:lang w:val="en-US"/>
              </w:rPr>
              <w:t>Low opportunity for Company to influence Contractor performance. (i.e. t</w:t>
            </w:r>
            <w:r>
              <w:rPr>
                <w:rFonts w:ascii="Arial" w:hAnsi="Arial"/>
                <w:color w:val="auto"/>
                <w:sz w:val="22"/>
              </w:rPr>
              <w:t>here is little incentive for the Contractor to keep costs to a minimum as profit is increased by </w:t>
            </w:r>
            <w:proofErr w:type="gramStart"/>
            <w:r>
              <w:rPr>
                <w:rFonts w:ascii="Arial" w:hAnsi="Arial"/>
                <w:color w:val="auto"/>
                <w:sz w:val="22"/>
              </w:rPr>
              <w:t>expending</w:t>
            </w:r>
            <w:proofErr w:type="gramEnd"/>
            <w:r>
              <w:rPr>
                <w:rFonts w:ascii="Arial" w:hAnsi="Arial"/>
                <w:color w:val="auto"/>
                <w:sz w:val="22"/>
              </w:rPr>
              <w:t xml:space="preserve"> more hours) </w:t>
            </w:r>
          </w:p>
          <w:p w14:paraId="384AC1AB" w14:textId="77777777" w:rsidR="00A46BA5" w:rsidRDefault="00A46BA5" w:rsidP="00A46BA5">
            <w:pPr>
              <w:pStyle w:val="bullet"/>
              <w:numPr>
                <w:ilvl w:val="0"/>
                <w:numId w:val="16"/>
              </w:numPr>
              <w:spacing w:before="120" w:after="120"/>
              <w:ind w:right="113"/>
              <w:jc w:val="left"/>
              <w:rPr>
                <w:rFonts w:ascii="Arial" w:hAnsi="Arial"/>
                <w:color w:val="auto"/>
                <w:sz w:val="22"/>
                <w:lang w:val="en-US"/>
              </w:rPr>
            </w:pPr>
            <w:r>
              <w:rPr>
                <w:rFonts w:ascii="Arial" w:hAnsi="Arial"/>
                <w:color w:val="auto"/>
                <w:sz w:val="22"/>
                <w:lang w:val="en-US"/>
              </w:rPr>
              <w:t xml:space="preserve">Possibility of Contractor cutting corners on quality </w:t>
            </w:r>
          </w:p>
          <w:p w14:paraId="26F47CF6" w14:textId="77777777" w:rsidR="00A46BA5" w:rsidRDefault="00A46BA5" w:rsidP="00A46BA5">
            <w:pPr>
              <w:pStyle w:val="bullet"/>
              <w:numPr>
                <w:ilvl w:val="0"/>
                <w:numId w:val="13"/>
              </w:numPr>
              <w:spacing w:before="120" w:after="120"/>
              <w:ind w:left="357" w:right="113" w:hanging="357"/>
              <w:jc w:val="left"/>
              <w:rPr>
                <w:rFonts w:ascii="Arial" w:hAnsi="Arial"/>
                <w:color w:val="auto"/>
                <w:sz w:val="22"/>
                <w:lang w:val="en-US"/>
              </w:rPr>
            </w:pPr>
            <w:r>
              <w:rPr>
                <w:rFonts w:ascii="Arial" w:hAnsi="Arial"/>
                <w:color w:val="auto"/>
                <w:sz w:val="22"/>
                <w:lang w:val="en-US"/>
              </w:rPr>
              <w:t xml:space="preserve">Failure to control change by Company may result in claims </w:t>
            </w:r>
          </w:p>
          <w:p w14:paraId="0C6AB9EB" w14:textId="77777777" w:rsidR="00A46BA5" w:rsidRDefault="00A46BA5" w:rsidP="00A46BA5">
            <w:pPr>
              <w:pStyle w:val="bullet"/>
              <w:numPr>
                <w:ilvl w:val="0"/>
                <w:numId w:val="13"/>
              </w:numPr>
              <w:spacing w:before="120" w:after="120"/>
              <w:ind w:left="357" w:right="113" w:hanging="357"/>
              <w:jc w:val="left"/>
              <w:rPr>
                <w:rFonts w:ascii="Arial" w:hAnsi="Arial"/>
                <w:color w:val="auto"/>
                <w:sz w:val="22"/>
                <w:lang w:val="en-US"/>
              </w:rPr>
            </w:pPr>
            <w:r>
              <w:rPr>
                <w:rFonts w:ascii="Arial" w:hAnsi="Arial"/>
                <w:color w:val="auto"/>
                <w:sz w:val="22"/>
                <w:lang w:val="en-US"/>
              </w:rPr>
              <w:t xml:space="preserve">Final out-turn cost is </w:t>
            </w:r>
            <w:proofErr w:type="spellStart"/>
            <w:r>
              <w:rPr>
                <w:rFonts w:ascii="Arial" w:hAnsi="Arial"/>
                <w:color w:val="auto"/>
                <w:sz w:val="22"/>
                <w:lang w:val="en-US"/>
              </w:rPr>
              <w:t>dependant</w:t>
            </w:r>
            <w:proofErr w:type="spellEnd"/>
            <w:r>
              <w:rPr>
                <w:rFonts w:ascii="Arial" w:hAnsi="Arial"/>
                <w:color w:val="auto"/>
                <w:sz w:val="22"/>
                <w:lang w:val="en-US"/>
              </w:rPr>
              <w:t xml:space="preserve"> on measured quantities. (May exceed estimate). </w:t>
            </w:r>
            <w:proofErr w:type="gramStart"/>
            <w:r>
              <w:rPr>
                <w:rFonts w:ascii="Arial" w:hAnsi="Arial"/>
                <w:color w:val="auto"/>
                <w:sz w:val="22"/>
                <w:lang w:val="en-US"/>
              </w:rPr>
              <w:t>Consequently</w:t>
            </w:r>
            <w:proofErr w:type="gramEnd"/>
            <w:r>
              <w:rPr>
                <w:rFonts w:ascii="Arial" w:hAnsi="Arial"/>
                <w:color w:val="auto"/>
                <w:sz w:val="22"/>
                <w:lang w:val="en-US"/>
              </w:rPr>
              <w:t xml:space="preserve"> overall contract value must be closely monitored </w:t>
            </w:r>
          </w:p>
          <w:p w14:paraId="756B29F6" w14:textId="77777777" w:rsidR="00A46BA5" w:rsidRDefault="00A46BA5" w:rsidP="00A46BA5">
            <w:pPr>
              <w:pStyle w:val="bullet"/>
              <w:numPr>
                <w:ilvl w:val="0"/>
                <w:numId w:val="15"/>
              </w:numPr>
              <w:spacing w:before="120" w:after="120"/>
              <w:ind w:right="113"/>
              <w:jc w:val="left"/>
              <w:rPr>
                <w:rFonts w:ascii="Arial" w:hAnsi="Arial"/>
                <w:color w:val="auto"/>
                <w:sz w:val="22"/>
              </w:rPr>
            </w:pPr>
            <w:r>
              <w:rPr>
                <w:rFonts w:ascii="Arial" w:hAnsi="Arial"/>
                <w:color w:val="auto"/>
                <w:sz w:val="22"/>
              </w:rPr>
              <w:t>Requires high levels of Company administration if costs are to be optimised</w:t>
            </w:r>
          </w:p>
        </w:tc>
      </w:tr>
    </w:tbl>
    <w:p w14:paraId="7B428E14" w14:textId="77777777" w:rsidR="00A46BA5" w:rsidRDefault="00A46BA5" w:rsidP="00817D60">
      <w:pPr>
        <w:jc w:val="both"/>
        <w:rPr>
          <w:rFonts w:ascii="Arial" w:hAnsi="Arial"/>
          <w:sz w:val="24"/>
        </w:rPr>
      </w:pPr>
      <w:r>
        <w:rPr>
          <w:rFonts w:ascii="Arial" w:hAnsi="Arial"/>
          <w:sz w:val="24"/>
        </w:rPr>
        <w:br w:type="page"/>
      </w:r>
    </w:p>
    <w:p w14:paraId="6420C099" w14:textId="77777777" w:rsidR="00BC7048" w:rsidRDefault="00BC7048" w:rsidP="00A46BA5">
      <w:pPr>
        <w:ind w:left="851" w:hanging="851"/>
        <w:rPr>
          <w:rFonts w:ascii="Arial" w:hAnsi="Arial"/>
          <w:b/>
          <w:sz w:val="24"/>
        </w:rPr>
      </w:pPr>
    </w:p>
    <w:p w14:paraId="43519A90" w14:textId="0198F5F7" w:rsidR="00A46BA5" w:rsidRDefault="00A46BA5" w:rsidP="00A46BA5">
      <w:pPr>
        <w:ind w:left="851" w:hanging="851"/>
        <w:rPr>
          <w:rFonts w:ascii="Arial" w:hAnsi="Arial"/>
          <w:b/>
          <w:sz w:val="24"/>
        </w:rPr>
      </w:pPr>
      <w:r>
        <w:rPr>
          <w:rFonts w:ascii="Arial" w:hAnsi="Arial"/>
          <w:b/>
          <w:sz w:val="24"/>
        </w:rPr>
        <w:t>5.3</w:t>
      </w:r>
      <w:r>
        <w:rPr>
          <w:rFonts w:ascii="Arial" w:hAnsi="Arial"/>
          <w:b/>
          <w:sz w:val="24"/>
        </w:rPr>
        <w:tab/>
        <w:t>Reimbursable</w:t>
      </w:r>
    </w:p>
    <w:p w14:paraId="2CA3658C" w14:textId="77777777" w:rsidR="00A46BA5" w:rsidRDefault="00A46BA5" w:rsidP="00A46BA5">
      <w:pPr>
        <w:ind w:left="851" w:hanging="851"/>
        <w:rPr>
          <w:rFonts w:ascii="Arial" w:hAnsi="Arial"/>
          <w:b/>
          <w:sz w:val="24"/>
        </w:rPr>
      </w:pPr>
    </w:p>
    <w:p w14:paraId="137B8088" w14:textId="77777777" w:rsidR="00A46BA5" w:rsidRDefault="00A46BA5" w:rsidP="00A46BA5">
      <w:pPr>
        <w:ind w:left="851"/>
        <w:jc w:val="both"/>
        <w:rPr>
          <w:rFonts w:ascii="Arial" w:hAnsi="Arial"/>
          <w:sz w:val="24"/>
        </w:rPr>
      </w:pPr>
      <w:r>
        <w:rPr>
          <w:rFonts w:ascii="Arial" w:hAnsi="Arial"/>
          <w:sz w:val="24"/>
        </w:rPr>
        <w:t>Contract remuneration on a Reimbursable basis refers to an arrangement whereby Company reimburses the Contractor the full net cost incurred by the Contractor in undertaking the work, plus an agreed amount to cover overhead and profit. Typically, there are three ways of addressing the overhead and profit element, namely:</w:t>
      </w:r>
    </w:p>
    <w:p w14:paraId="03FE9EA0" w14:textId="77777777" w:rsidR="00A46BA5" w:rsidRDefault="00A46BA5" w:rsidP="00A46BA5">
      <w:pPr>
        <w:ind w:left="851" w:hanging="851"/>
        <w:rPr>
          <w:rFonts w:ascii="Arial" w:hAnsi="Arial"/>
          <w:b/>
          <w:sz w:val="24"/>
        </w:rPr>
      </w:pPr>
    </w:p>
    <w:p w14:paraId="5A1822F6" w14:textId="77777777" w:rsidR="00A46BA5" w:rsidRDefault="00A46BA5" w:rsidP="00A46BA5">
      <w:pPr>
        <w:ind w:left="1701" w:hanging="851"/>
        <w:jc w:val="both"/>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Net cost plus a fixed fee</w:t>
      </w:r>
    </w:p>
    <w:p w14:paraId="6B02121A" w14:textId="77777777" w:rsidR="00A46BA5" w:rsidRDefault="00A46BA5" w:rsidP="00A46BA5">
      <w:pPr>
        <w:ind w:left="1701" w:hanging="851"/>
        <w:jc w:val="both"/>
        <w:rPr>
          <w:rFonts w:ascii="Arial" w:hAnsi="Arial"/>
          <w:sz w:val="24"/>
        </w:rPr>
      </w:pPr>
    </w:p>
    <w:p w14:paraId="497D6E60" w14:textId="77777777" w:rsidR="00A46BA5" w:rsidRDefault="00A46BA5" w:rsidP="00A46BA5">
      <w:pPr>
        <w:ind w:left="1701" w:hanging="851"/>
        <w:jc w:val="both"/>
        <w:rPr>
          <w:rFonts w:ascii="Arial" w:hAnsi="Arial"/>
          <w:sz w:val="24"/>
        </w:rPr>
      </w:pPr>
      <w:r>
        <w:rPr>
          <w:rFonts w:ascii="Arial" w:hAnsi="Arial"/>
          <w:sz w:val="24"/>
        </w:rPr>
        <w:t>(ii)</w:t>
      </w:r>
      <w:r>
        <w:rPr>
          <w:rFonts w:ascii="Arial" w:hAnsi="Arial"/>
          <w:sz w:val="24"/>
        </w:rPr>
        <w:tab/>
        <w:t>Net cost plus a percentage uplift</w:t>
      </w:r>
    </w:p>
    <w:p w14:paraId="6C002753" w14:textId="77777777" w:rsidR="00A46BA5" w:rsidRDefault="00A46BA5" w:rsidP="00A46BA5">
      <w:pPr>
        <w:ind w:left="1701" w:hanging="851"/>
        <w:jc w:val="both"/>
        <w:rPr>
          <w:rFonts w:ascii="Arial" w:hAnsi="Arial"/>
          <w:sz w:val="24"/>
        </w:rPr>
      </w:pPr>
    </w:p>
    <w:p w14:paraId="5CF17BCF" w14:textId="77777777" w:rsidR="00A46BA5" w:rsidRDefault="00A46BA5" w:rsidP="00A46BA5">
      <w:pPr>
        <w:ind w:left="1701" w:hanging="851"/>
        <w:jc w:val="both"/>
        <w:rPr>
          <w:rFonts w:ascii="Arial" w:hAnsi="Arial"/>
          <w:sz w:val="24"/>
        </w:rPr>
      </w:pPr>
      <w:r>
        <w:rPr>
          <w:rFonts w:ascii="Arial" w:hAnsi="Arial"/>
          <w:sz w:val="24"/>
        </w:rPr>
        <w:t>(iii)</w:t>
      </w:r>
      <w:r>
        <w:rPr>
          <w:rFonts w:ascii="Arial" w:hAnsi="Arial"/>
          <w:sz w:val="24"/>
        </w:rPr>
        <w:tab/>
        <w:t>Net cost plus an hourly rate</w:t>
      </w:r>
    </w:p>
    <w:p w14:paraId="37279A54" w14:textId="77777777" w:rsidR="00A46BA5" w:rsidRDefault="00A46BA5" w:rsidP="00A46BA5">
      <w:pPr>
        <w:rPr>
          <w:rFonts w:ascii="Arial" w:hAnsi="Arial"/>
          <w:sz w:val="24"/>
        </w:rPr>
      </w:pPr>
    </w:p>
    <w:p w14:paraId="28524ACC" w14:textId="7A34BDC1" w:rsidR="00A46BA5" w:rsidRDefault="00A46BA5" w:rsidP="00A46BA5">
      <w:pPr>
        <w:ind w:left="851"/>
        <w:jc w:val="both"/>
        <w:rPr>
          <w:rFonts w:ascii="Arial" w:hAnsi="Arial"/>
          <w:sz w:val="24"/>
        </w:rPr>
      </w:pPr>
      <w:r>
        <w:rPr>
          <w:rFonts w:ascii="Arial" w:hAnsi="Arial"/>
          <w:sz w:val="24"/>
        </w:rPr>
        <w:t xml:space="preserve">This method is most suitable when early selection of a Contractor is needed to progress work where the Scope of Work still requires to be fully defined.  It is important to note here however that under such circumstances, suitable commercial control mechanisms such as Cost, Time, Resource (CTR) mechanisms should be employed to ensure a degree of control in arriving at a final contract value and controlling expenditure against budget.  </w:t>
      </w:r>
    </w:p>
    <w:p w14:paraId="780C330C" w14:textId="77777777" w:rsidR="00A46BA5" w:rsidRDefault="00A46BA5" w:rsidP="00A46BA5">
      <w:pPr>
        <w:ind w:left="1701" w:hanging="851"/>
        <w:jc w:val="both"/>
        <w:rPr>
          <w:rFonts w:ascii="Arial" w:hAnsi="Arial"/>
          <w:sz w:val="24"/>
        </w:rPr>
      </w:pPr>
    </w:p>
    <w:p w14:paraId="070F4362" w14:textId="77777777" w:rsidR="00A46BA5" w:rsidRDefault="00A46BA5" w:rsidP="00A46BA5">
      <w:pPr>
        <w:ind w:left="851"/>
        <w:rPr>
          <w:rFonts w:ascii="Arial" w:hAnsi="Arial"/>
          <w:sz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2"/>
        <w:gridCol w:w="4253"/>
      </w:tblGrid>
      <w:tr w:rsidR="00A46BA5" w14:paraId="38551BA8" w14:textId="77777777" w:rsidTr="009507D3">
        <w:trPr>
          <w:cantSplit/>
        </w:trPr>
        <w:tc>
          <w:tcPr>
            <w:tcW w:w="4252" w:type="dxa"/>
            <w:tcBorders>
              <w:bottom w:val="single" w:sz="6" w:space="0" w:color="auto"/>
            </w:tcBorders>
          </w:tcPr>
          <w:p w14:paraId="6F98A8FE" w14:textId="546089C7" w:rsidR="00A46BA5" w:rsidRDefault="00A46BA5" w:rsidP="009507D3">
            <w:pPr>
              <w:spacing w:before="120" w:after="120"/>
              <w:jc w:val="center"/>
              <w:rPr>
                <w:rFonts w:ascii="Arial" w:hAnsi="Arial"/>
                <w:b/>
                <w:sz w:val="24"/>
              </w:rPr>
            </w:pPr>
            <w:r>
              <w:rPr>
                <w:rFonts w:ascii="Arial" w:hAnsi="Arial"/>
                <w:b/>
                <w:sz w:val="24"/>
              </w:rPr>
              <w:t>Advantages</w:t>
            </w:r>
          </w:p>
        </w:tc>
        <w:tc>
          <w:tcPr>
            <w:tcW w:w="4253" w:type="dxa"/>
            <w:tcBorders>
              <w:bottom w:val="single" w:sz="6" w:space="0" w:color="auto"/>
            </w:tcBorders>
          </w:tcPr>
          <w:p w14:paraId="4E98006C" w14:textId="16926A17" w:rsidR="00A46BA5" w:rsidRDefault="00A46BA5" w:rsidP="009507D3">
            <w:pPr>
              <w:spacing w:before="120" w:after="120"/>
              <w:jc w:val="center"/>
              <w:rPr>
                <w:rFonts w:ascii="Arial" w:hAnsi="Arial"/>
                <w:b/>
                <w:sz w:val="24"/>
              </w:rPr>
            </w:pPr>
            <w:r>
              <w:rPr>
                <w:rFonts w:ascii="Arial" w:hAnsi="Arial"/>
                <w:b/>
                <w:sz w:val="24"/>
              </w:rPr>
              <w:t>Risks</w:t>
            </w:r>
          </w:p>
        </w:tc>
      </w:tr>
      <w:tr w:rsidR="00A46BA5" w14:paraId="698D890F" w14:textId="77777777" w:rsidTr="009507D3">
        <w:trPr>
          <w:cantSplit/>
        </w:trPr>
        <w:tc>
          <w:tcPr>
            <w:tcW w:w="4252" w:type="dxa"/>
            <w:tcBorders>
              <w:top w:val="single" w:sz="6" w:space="0" w:color="auto"/>
            </w:tcBorders>
          </w:tcPr>
          <w:p w14:paraId="3412CF81" w14:textId="77777777" w:rsidR="00A46BA5" w:rsidRDefault="00A46BA5" w:rsidP="00A46BA5">
            <w:pPr>
              <w:numPr>
                <w:ilvl w:val="0"/>
                <w:numId w:val="17"/>
              </w:numPr>
              <w:spacing w:before="120" w:after="120"/>
              <w:rPr>
                <w:rFonts w:ascii="Arial" w:hAnsi="Arial"/>
                <w:sz w:val="24"/>
              </w:rPr>
            </w:pPr>
            <w:r>
              <w:rPr>
                <w:rFonts w:ascii="Arial" w:hAnsi="Arial"/>
                <w:sz w:val="24"/>
              </w:rPr>
              <w:t xml:space="preserve">Allows Company to make an early selection of Contractor </w:t>
            </w:r>
          </w:p>
          <w:p w14:paraId="50AF48AD" w14:textId="77777777" w:rsidR="00A46BA5" w:rsidRDefault="00A46BA5" w:rsidP="00A46BA5">
            <w:pPr>
              <w:numPr>
                <w:ilvl w:val="0"/>
                <w:numId w:val="17"/>
              </w:numPr>
              <w:spacing w:before="120" w:after="120"/>
              <w:rPr>
                <w:rFonts w:ascii="Arial" w:hAnsi="Arial"/>
                <w:sz w:val="24"/>
              </w:rPr>
            </w:pPr>
            <w:r>
              <w:rPr>
                <w:rFonts w:ascii="Arial" w:hAnsi="Arial"/>
                <w:sz w:val="24"/>
              </w:rPr>
              <w:t xml:space="preserve">Reduces the need for claims as Company pays costs to the Contractor automatically </w:t>
            </w:r>
          </w:p>
          <w:p w14:paraId="6F83F341" w14:textId="77777777" w:rsidR="00A46BA5" w:rsidRDefault="00A46BA5" w:rsidP="00A46BA5">
            <w:pPr>
              <w:numPr>
                <w:ilvl w:val="0"/>
                <w:numId w:val="17"/>
              </w:numPr>
              <w:spacing w:before="120" w:after="120"/>
              <w:rPr>
                <w:rFonts w:ascii="Arial" w:hAnsi="Arial"/>
                <w:sz w:val="24"/>
              </w:rPr>
            </w:pPr>
            <w:r>
              <w:rPr>
                <w:rFonts w:ascii="Arial" w:hAnsi="Arial"/>
                <w:sz w:val="24"/>
              </w:rPr>
              <w:t>Company can influence Contractor performance</w:t>
            </w:r>
          </w:p>
          <w:p w14:paraId="3417FFB9" w14:textId="77777777" w:rsidR="00A46BA5" w:rsidRDefault="00A46BA5" w:rsidP="009507D3">
            <w:pPr>
              <w:spacing w:before="120" w:after="120"/>
              <w:rPr>
                <w:rFonts w:ascii="Arial" w:hAnsi="Arial"/>
                <w:sz w:val="24"/>
              </w:rPr>
            </w:pPr>
          </w:p>
        </w:tc>
        <w:tc>
          <w:tcPr>
            <w:tcW w:w="4253" w:type="dxa"/>
            <w:tcBorders>
              <w:top w:val="single" w:sz="6" w:space="0" w:color="auto"/>
            </w:tcBorders>
          </w:tcPr>
          <w:p w14:paraId="17BA2078" w14:textId="77777777" w:rsidR="00A46BA5" w:rsidRDefault="00A46BA5" w:rsidP="00A46BA5">
            <w:pPr>
              <w:numPr>
                <w:ilvl w:val="0"/>
                <w:numId w:val="18"/>
              </w:numPr>
              <w:spacing w:before="120" w:after="120"/>
              <w:ind w:left="357" w:hanging="357"/>
              <w:rPr>
                <w:rFonts w:ascii="Arial" w:hAnsi="Arial"/>
                <w:sz w:val="24"/>
              </w:rPr>
            </w:pPr>
            <w:r>
              <w:rPr>
                <w:rFonts w:ascii="Arial" w:hAnsi="Arial"/>
                <w:sz w:val="24"/>
              </w:rPr>
              <w:t>Company retains the majority of risk</w:t>
            </w:r>
          </w:p>
          <w:p w14:paraId="5A7C6147" w14:textId="09FCC32F" w:rsidR="00A46BA5" w:rsidRDefault="00A46BA5" w:rsidP="00A46BA5">
            <w:pPr>
              <w:numPr>
                <w:ilvl w:val="0"/>
                <w:numId w:val="18"/>
              </w:numPr>
              <w:spacing w:before="120" w:after="120"/>
              <w:ind w:left="357" w:hanging="357"/>
              <w:rPr>
                <w:rFonts w:ascii="Arial" w:hAnsi="Arial"/>
                <w:sz w:val="24"/>
              </w:rPr>
            </w:pPr>
            <w:r>
              <w:rPr>
                <w:rFonts w:ascii="Arial" w:hAnsi="Arial"/>
                <w:sz w:val="24"/>
              </w:rPr>
              <w:t>Company pays for any inefficiency or errors of Contractor</w:t>
            </w:r>
          </w:p>
          <w:p w14:paraId="70ACB7C8" w14:textId="77777777" w:rsidR="00A46BA5" w:rsidRDefault="00A46BA5" w:rsidP="00A46BA5">
            <w:pPr>
              <w:numPr>
                <w:ilvl w:val="0"/>
                <w:numId w:val="18"/>
              </w:numPr>
              <w:spacing w:before="120" w:after="120"/>
              <w:ind w:left="357" w:hanging="357"/>
              <w:rPr>
                <w:rFonts w:ascii="Arial" w:hAnsi="Arial"/>
                <w:sz w:val="24"/>
              </w:rPr>
            </w:pPr>
            <w:r>
              <w:rPr>
                <w:rFonts w:ascii="Arial" w:hAnsi="Arial"/>
                <w:sz w:val="24"/>
              </w:rPr>
              <w:t>Final out-turn cost is uncertain</w:t>
            </w:r>
          </w:p>
          <w:p w14:paraId="2D136F70" w14:textId="40D898D9" w:rsidR="00A46BA5" w:rsidRDefault="00A46BA5" w:rsidP="00A46BA5">
            <w:pPr>
              <w:numPr>
                <w:ilvl w:val="0"/>
                <w:numId w:val="18"/>
              </w:numPr>
              <w:spacing w:before="120" w:after="120"/>
              <w:ind w:left="357" w:hanging="357"/>
              <w:rPr>
                <w:rFonts w:ascii="Arial" w:hAnsi="Arial"/>
                <w:sz w:val="24"/>
              </w:rPr>
            </w:pPr>
            <w:r>
              <w:rPr>
                <w:rFonts w:ascii="Arial" w:hAnsi="Arial"/>
                <w:sz w:val="24"/>
              </w:rPr>
              <w:t>Less incentive on Contractor to minimise costs</w:t>
            </w:r>
          </w:p>
          <w:p w14:paraId="5DA6F839" w14:textId="77777777" w:rsidR="00A46BA5" w:rsidRDefault="00A46BA5" w:rsidP="00A46BA5">
            <w:pPr>
              <w:numPr>
                <w:ilvl w:val="0"/>
                <w:numId w:val="19"/>
              </w:numPr>
              <w:spacing w:before="120" w:after="120"/>
              <w:rPr>
                <w:rFonts w:ascii="Arial" w:hAnsi="Arial"/>
                <w:sz w:val="24"/>
              </w:rPr>
            </w:pPr>
            <w:r>
              <w:rPr>
                <w:rFonts w:ascii="Arial" w:hAnsi="Arial"/>
                <w:sz w:val="24"/>
              </w:rPr>
              <w:t xml:space="preserve">Difficult to assess tenders (may not be on a "like with like" basis)  </w:t>
            </w:r>
          </w:p>
        </w:tc>
      </w:tr>
    </w:tbl>
    <w:p w14:paraId="75CFE2EE" w14:textId="77777777" w:rsidR="00A46BA5" w:rsidRDefault="00A46BA5" w:rsidP="00A46BA5">
      <w:pPr>
        <w:rPr>
          <w:rFonts w:ascii="Arial" w:hAnsi="Arial"/>
          <w:sz w:val="24"/>
        </w:rPr>
      </w:pPr>
    </w:p>
    <w:p w14:paraId="4341C689" w14:textId="77777777" w:rsidR="00A46BA5" w:rsidRDefault="00A46BA5" w:rsidP="00A46BA5">
      <w:pPr>
        <w:rPr>
          <w:rFonts w:ascii="Arial" w:hAnsi="Arial"/>
          <w:sz w:val="24"/>
        </w:rPr>
      </w:pPr>
    </w:p>
    <w:p w14:paraId="717DC91B" w14:textId="0C5278F9" w:rsidR="00BC7048" w:rsidRDefault="00BC7048" w:rsidP="00817D60">
      <w:pPr>
        <w:rPr>
          <w:rFonts w:ascii="Arial" w:hAnsi="Arial"/>
          <w:b/>
          <w:sz w:val="24"/>
        </w:rPr>
      </w:pPr>
    </w:p>
    <w:p w14:paraId="03170F9E" w14:textId="77777777" w:rsidR="00817D60" w:rsidRDefault="00817D60" w:rsidP="00817D60">
      <w:pPr>
        <w:rPr>
          <w:rFonts w:ascii="Arial" w:hAnsi="Arial"/>
          <w:b/>
          <w:sz w:val="24"/>
        </w:rPr>
      </w:pPr>
    </w:p>
    <w:p w14:paraId="00ED1466" w14:textId="77777777" w:rsidR="00817D60" w:rsidRDefault="00817D60" w:rsidP="00817D60">
      <w:pPr>
        <w:rPr>
          <w:rFonts w:ascii="Arial" w:hAnsi="Arial"/>
          <w:b/>
          <w:sz w:val="24"/>
        </w:rPr>
      </w:pPr>
    </w:p>
    <w:p w14:paraId="4AA7C70D" w14:textId="77777777" w:rsidR="00817D60" w:rsidRDefault="00817D60" w:rsidP="00817D60">
      <w:pPr>
        <w:rPr>
          <w:rFonts w:ascii="Arial" w:hAnsi="Arial"/>
          <w:b/>
          <w:sz w:val="24"/>
        </w:rPr>
      </w:pPr>
    </w:p>
    <w:p w14:paraId="18271D3A" w14:textId="77777777" w:rsidR="00817D60" w:rsidRDefault="00817D60" w:rsidP="00817D60">
      <w:pPr>
        <w:rPr>
          <w:rFonts w:ascii="Arial" w:hAnsi="Arial"/>
          <w:b/>
          <w:sz w:val="24"/>
        </w:rPr>
      </w:pPr>
    </w:p>
    <w:p w14:paraId="1BD4C364" w14:textId="77777777" w:rsidR="00817D60" w:rsidRDefault="00817D60" w:rsidP="00817D60">
      <w:pPr>
        <w:rPr>
          <w:rFonts w:ascii="Arial" w:hAnsi="Arial"/>
          <w:b/>
          <w:sz w:val="24"/>
        </w:rPr>
      </w:pPr>
    </w:p>
    <w:p w14:paraId="7ED5F4DD" w14:textId="77777777" w:rsidR="00817D60" w:rsidRDefault="00817D60" w:rsidP="00817D60">
      <w:pPr>
        <w:rPr>
          <w:rFonts w:ascii="Arial" w:hAnsi="Arial"/>
          <w:b/>
          <w:sz w:val="24"/>
        </w:rPr>
      </w:pPr>
    </w:p>
    <w:p w14:paraId="4D6A5C32" w14:textId="68B30756" w:rsidR="00A46BA5" w:rsidRDefault="00A46BA5" w:rsidP="00A46BA5">
      <w:pPr>
        <w:ind w:left="851" w:hanging="851"/>
        <w:rPr>
          <w:rFonts w:ascii="Arial" w:hAnsi="Arial"/>
          <w:b/>
          <w:sz w:val="24"/>
        </w:rPr>
      </w:pPr>
      <w:r>
        <w:rPr>
          <w:rFonts w:ascii="Arial" w:hAnsi="Arial"/>
          <w:b/>
          <w:sz w:val="24"/>
        </w:rPr>
        <w:lastRenderedPageBreak/>
        <w:t>5.4</w:t>
      </w:r>
      <w:r>
        <w:rPr>
          <w:rFonts w:ascii="Arial" w:hAnsi="Arial"/>
          <w:b/>
          <w:sz w:val="24"/>
        </w:rPr>
        <w:tab/>
        <w:t>Incentive</w:t>
      </w:r>
      <w:r w:rsidR="000817A4">
        <w:rPr>
          <w:rFonts w:ascii="Arial" w:hAnsi="Arial"/>
          <w:b/>
          <w:sz w:val="24"/>
        </w:rPr>
        <w:t xml:space="preserve"> </w:t>
      </w:r>
      <w:r>
        <w:rPr>
          <w:rFonts w:ascii="Arial" w:hAnsi="Arial"/>
          <w:b/>
          <w:sz w:val="24"/>
        </w:rPr>
        <w:t>/</w:t>
      </w:r>
      <w:r w:rsidR="000817A4">
        <w:rPr>
          <w:rFonts w:ascii="Arial" w:hAnsi="Arial"/>
          <w:b/>
          <w:sz w:val="24"/>
        </w:rPr>
        <w:t xml:space="preserve"> </w:t>
      </w:r>
      <w:r>
        <w:rPr>
          <w:rFonts w:ascii="Arial" w:hAnsi="Arial"/>
          <w:b/>
          <w:sz w:val="24"/>
        </w:rPr>
        <w:t>Risk &amp; Reward Schemes</w:t>
      </w:r>
    </w:p>
    <w:p w14:paraId="045FCF9F" w14:textId="77777777" w:rsidR="00A46BA5" w:rsidRDefault="00A46BA5" w:rsidP="00A46BA5">
      <w:pPr>
        <w:ind w:left="851" w:hanging="851"/>
        <w:rPr>
          <w:rFonts w:ascii="Arial" w:hAnsi="Arial"/>
          <w:b/>
          <w:sz w:val="24"/>
        </w:rPr>
      </w:pPr>
    </w:p>
    <w:p w14:paraId="6AACB7FD" w14:textId="77777777" w:rsidR="00A46BA5" w:rsidRDefault="00A46BA5" w:rsidP="00A46BA5">
      <w:pPr>
        <w:ind w:left="851"/>
        <w:jc w:val="both"/>
        <w:rPr>
          <w:rFonts w:ascii="Arial" w:hAnsi="Arial"/>
          <w:b/>
          <w:sz w:val="24"/>
        </w:rPr>
      </w:pPr>
      <w:r>
        <w:rPr>
          <w:rFonts w:ascii="Arial" w:hAnsi="Arial"/>
          <w:sz w:val="24"/>
        </w:rPr>
        <w:t xml:space="preserve">Many different methods exist for incentivised remuneration. Generally, they all require a degree of shared financial risk and reward for the agreed Scope of Work. This shared risk can be based on the Contractor’s commercial, technical or operational performance.  </w:t>
      </w:r>
    </w:p>
    <w:p w14:paraId="7F1B4BB5" w14:textId="77777777" w:rsidR="00A46BA5" w:rsidRDefault="00A46BA5" w:rsidP="00A46BA5">
      <w:pPr>
        <w:rPr>
          <w:rFonts w:ascii="Arial" w:hAnsi="Arial"/>
          <w:sz w:val="24"/>
        </w:rPr>
      </w:pPr>
    </w:p>
    <w:p w14:paraId="5534670C" w14:textId="77777777" w:rsidR="00A46BA5" w:rsidRDefault="00A46BA5" w:rsidP="00A46BA5">
      <w:pPr>
        <w:ind w:left="851"/>
        <w:jc w:val="both"/>
        <w:rPr>
          <w:rFonts w:ascii="Arial" w:hAnsi="Arial"/>
          <w:sz w:val="24"/>
        </w:rPr>
      </w:pPr>
      <w:r>
        <w:rPr>
          <w:rFonts w:ascii="Arial" w:hAnsi="Arial"/>
          <w:sz w:val="24"/>
        </w:rPr>
        <w:t xml:space="preserve">Benchmarks or targets are set for measurable aspects of the work which, if completed within these thresholds, result in both the Contractor and Company sharing in the savings or gains.  The basis on which these improvements are shared is usually determined by a formula that accounts for variables such as target cost, equipment performance, uptime or any other measurable outcomes. Benchmarks must be measurable, relatively simple to monitor, understand and be aligned with the Company’s overall objective for the work.  </w:t>
      </w:r>
    </w:p>
    <w:p w14:paraId="566220C8" w14:textId="77777777" w:rsidR="00A46BA5" w:rsidRDefault="00A46BA5" w:rsidP="00A46BA5">
      <w:pPr>
        <w:ind w:left="851"/>
        <w:jc w:val="both"/>
        <w:rPr>
          <w:rFonts w:ascii="Arial" w:hAnsi="Arial"/>
          <w:sz w:val="24"/>
        </w:rPr>
      </w:pPr>
    </w:p>
    <w:p w14:paraId="0D90884E" w14:textId="77777777" w:rsidR="00A46BA5" w:rsidRDefault="00A46BA5" w:rsidP="00A46BA5">
      <w:pPr>
        <w:ind w:left="851"/>
        <w:jc w:val="both"/>
        <w:rPr>
          <w:rFonts w:ascii="Arial" w:hAnsi="Arial"/>
          <w:sz w:val="24"/>
        </w:rPr>
      </w:pPr>
      <w:r>
        <w:rPr>
          <w:rFonts w:ascii="Arial" w:hAnsi="Arial"/>
          <w:sz w:val="24"/>
        </w:rPr>
        <w:t xml:space="preserve">For an incentive scheme to be fully effective it is essential that the Contractor </w:t>
      </w:r>
      <w:proofErr w:type="gramStart"/>
      <w:r>
        <w:rPr>
          <w:rFonts w:ascii="Arial" w:hAnsi="Arial"/>
          <w:sz w:val="24"/>
        </w:rPr>
        <w:t>has the ability to</w:t>
      </w:r>
      <w:proofErr w:type="gramEnd"/>
      <w:r>
        <w:rPr>
          <w:rFonts w:ascii="Arial" w:hAnsi="Arial"/>
          <w:sz w:val="24"/>
        </w:rPr>
        <w:t xml:space="preserve"> significantly influence the targets it is being measured against.  As an incentivised contract generally takes more time to manage, incentives should be reserved for work that has the potential to produce significant benefit to the Company.</w:t>
      </w:r>
    </w:p>
    <w:p w14:paraId="7CC9BE2C" w14:textId="77777777" w:rsidR="00A46BA5" w:rsidRDefault="00A46BA5" w:rsidP="00A46BA5">
      <w:pPr>
        <w:ind w:left="851"/>
        <w:jc w:val="both"/>
        <w:rPr>
          <w:rFonts w:ascii="Arial" w:hAnsi="Arial"/>
          <w:sz w:val="24"/>
        </w:rPr>
      </w:pPr>
    </w:p>
    <w:tbl>
      <w:tblPr>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82"/>
        <w:gridCol w:w="4770"/>
      </w:tblGrid>
      <w:tr w:rsidR="00A46BA5" w14:paraId="64FEF0FD" w14:textId="77777777" w:rsidTr="001E1093">
        <w:trPr>
          <w:cantSplit/>
        </w:trPr>
        <w:tc>
          <w:tcPr>
            <w:tcW w:w="4582" w:type="dxa"/>
          </w:tcPr>
          <w:p w14:paraId="1E19CABA" w14:textId="77777777" w:rsidR="00A46BA5" w:rsidRDefault="00A46BA5" w:rsidP="009507D3">
            <w:pPr>
              <w:spacing w:before="120" w:after="120"/>
              <w:jc w:val="center"/>
              <w:rPr>
                <w:rFonts w:ascii="Arial" w:hAnsi="Arial"/>
                <w:b/>
                <w:sz w:val="24"/>
              </w:rPr>
            </w:pPr>
            <w:r>
              <w:rPr>
                <w:rFonts w:ascii="Arial" w:hAnsi="Arial"/>
                <w:b/>
                <w:sz w:val="24"/>
              </w:rPr>
              <w:t xml:space="preserve">Advantages </w:t>
            </w:r>
          </w:p>
        </w:tc>
        <w:tc>
          <w:tcPr>
            <w:tcW w:w="4770" w:type="dxa"/>
          </w:tcPr>
          <w:p w14:paraId="5E830FB8" w14:textId="77777777" w:rsidR="00A46BA5" w:rsidRDefault="00A46BA5" w:rsidP="009507D3">
            <w:pPr>
              <w:spacing w:before="120" w:after="120"/>
              <w:jc w:val="center"/>
              <w:rPr>
                <w:rFonts w:ascii="Arial" w:hAnsi="Arial"/>
                <w:b/>
                <w:sz w:val="24"/>
              </w:rPr>
            </w:pPr>
            <w:r>
              <w:rPr>
                <w:rFonts w:ascii="Arial" w:hAnsi="Arial"/>
                <w:b/>
                <w:sz w:val="24"/>
              </w:rPr>
              <w:t xml:space="preserve">Risk </w:t>
            </w:r>
          </w:p>
        </w:tc>
      </w:tr>
      <w:tr w:rsidR="00A46BA5" w14:paraId="44346E57" w14:textId="77777777" w:rsidTr="001E1093">
        <w:trPr>
          <w:cantSplit/>
        </w:trPr>
        <w:tc>
          <w:tcPr>
            <w:tcW w:w="4582" w:type="dxa"/>
          </w:tcPr>
          <w:p w14:paraId="23701060" w14:textId="77777777" w:rsidR="00A46BA5" w:rsidRDefault="00A46BA5" w:rsidP="00A46BA5">
            <w:pPr>
              <w:pStyle w:val="bullet"/>
              <w:numPr>
                <w:ilvl w:val="0"/>
                <w:numId w:val="20"/>
              </w:numPr>
              <w:tabs>
                <w:tab w:val="clear" w:pos="360"/>
                <w:tab w:val="num" w:pos="395"/>
              </w:tabs>
              <w:spacing w:before="120" w:after="120"/>
              <w:ind w:left="395" w:right="113"/>
              <w:jc w:val="left"/>
              <w:rPr>
                <w:rFonts w:ascii="Arial" w:hAnsi="Arial"/>
                <w:color w:val="auto"/>
                <w:sz w:val="22"/>
              </w:rPr>
            </w:pPr>
            <w:r>
              <w:rPr>
                <w:rFonts w:ascii="Arial" w:hAnsi="Arial"/>
                <w:color w:val="auto"/>
                <w:sz w:val="22"/>
              </w:rPr>
              <w:t>Contractor cost and profit levels are known</w:t>
            </w:r>
          </w:p>
          <w:p w14:paraId="1D30ED06" w14:textId="77777777" w:rsidR="00A46BA5" w:rsidRDefault="00A46BA5" w:rsidP="00A46BA5">
            <w:pPr>
              <w:pStyle w:val="bullet"/>
              <w:numPr>
                <w:ilvl w:val="0"/>
                <w:numId w:val="23"/>
              </w:numPr>
              <w:tabs>
                <w:tab w:val="clear" w:pos="360"/>
                <w:tab w:val="num" w:pos="395"/>
              </w:tabs>
              <w:spacing w:before="120" w:after="120"/>
              <w:ind w:left="395" w:right="113"/>
              <w:jc w:val="left"/>
              <w:rPr>
                <w:rFonts w:ascii="Arial" w:hAnsi="Arial"/>
                <w:color w:val="auto"/>
                <w:sz w:val="22"/>
              </w:rPr>
            </w:pPr>
            <w:r>
              <w:rPr>
                <w:rFonts w:ascii="Arial" w:hAnsi="Arial"/>
                <w:color w:val="auto"/>
                <w:sz w:val="22"/>
              </w:rPr>
              <w:t xml:space="preserve">The Contractor has clear incentives to reduce the cost of the work if the contract is incentivised properly </w:t>
            </w:r>
          </w:p>
          <w:p w14:paraId="7901B0DB" w14:textId="77777777" w:rsidR="00A46BA5" w:rsidRDefault="00A46BA5" w:rsidP="00A46BA5">
            <w:pPr>
              <w:pStyle w:val="bullet"/>
              <w:numPr>
                <w:ilvl w:val="0"/>
                <w:numId w:val="23"/>
              </w:numPr>
              <w:tabs>
                <w:tab w:val="clear" w:pos="360"/>
                <w:tab w:val="num" w:pos="395"/>
              </w:tabs>
              <w:spacing w:before="120" w:after="120"/>
              <w:ind w:left="395" w:right="113"/>
              <w:jc w:val="left"/>
              <w:rPr>
                <w:rFonts w:ascii="Arial" w:hAnsi="Arial"/>
                <w:color w:val="auto"/>
                <w:sz w:val="22"/>
              </w:rPr>
            </w:pPr>
            <w:r>
              <w:rPr>
                <w:rFonts w:ascii="Arial" w:hAnsi="Arial"/>
                <w:color w:val="auto"/>
                <w:sz w:val="22"/>
              </w:rPr>
              <w:t xml:space="preserve">Contractor has more influence over the level of performance due to the setting of benchmarks </w:t>
            </w:r>
          </w:p>
          <w:p w14:paraId="50EAABCE" w14:textId="506C8E34" w:rsidR="00A46BA5" w:rsidRDefault="00A46BA5" w:rsidP="00A46BA5">
            <w:pPr>
              <w:pStyle w:val="bullet"/>
              <w:numPr>
                <w:ilvl w:val="0"/>
                <w:numId w:val="23"/>
              </w:numPr>
              <w:tabs>
                <w:tab w:val="clear" w:pos="360"/>
                <w:tab w:val="num" w:pos="395"/>
              </w:tabs>
              <w:spacing w:before="120" w:after="120"/>
              <w:ind w:left="395" w:right="113"/>
              <w:jc w:val="left"/>
              <w:rPr>
                <w:rFonts w:ascii="Arial" w:hAnsi="Arial"/>
                <w:color w:val="auto"/>
                <w:sz w:val="22"/>
              </w:rPr>
            </w:pPr>
            <w:r>
              <w:rPr>
                <w:rFonts w:ascii="Arial" w:hAnsi="Arial"/>
                <w:color w:val="auto"/>
                <w:sz w:val="22"/>
              </w:rPr>
              <w:t>Incentivisation is a flexible arrangement that lends itself to Contractor self</w:t>
            </w:r>
            <w:r>
              <w:rPr>
                <w:rFonts w:ascii="Arial" w:hAnsi="Arial"/>
                <w:color w:val="auto"/>
                <w:sz w:val="22"/>
              </w:rPr>
              <w:noBreakHyphen/>
              <w:t xml:space="preserve">motivation and innovation </w:t>
            </w:r>
          </w:p>
        </w:tc>
        <w:tc>
          <w:tcPr>
            <w:tcW w:w="4770" w:type="dxa"/>
          </w:tcPr>
          <w:p w14:paraId="55CDED8E" w14:textId="3F931847" w:rsidR="00A46BA5" w:rsidRDefault="00A46BA5" w:rsidP="00A46BA5">
            <w:pPr>
              <w:pStyle w:val="bullet"/>
              <w:numPr>
                <w:ilvl w:val="0"/>
                <w:numId w:val="21"/>
              </w:numPr>
              <w:spacing w:before="120" w:after="120"/>
              <w:ind w:right="113"/>
              <w:jc w:val="left"/>
              <w:rPr>
                <w:rFonts w:ascii="Arial" w:hAnsi="Arial"/>
                <w:color w:val="auto"/>
                <w:sz w:val="22"/>
              </w:rPr>
            </w:pPr>
            <w:r>
              <w:rPr>
                <w:rFonts w:ascii="Arial" w:hAnsi="Arial"/>
                <w:color w:val="auto"/>
                <w:sz w:val="22"/>
              </w:rPr>
              <w:t>Considerable effort may be required for contract management</w:t>
            </w:r>
          </w:p>
          <w:p w14:paraId="581F33C1" w14:textId="77777777" w:rsidR="00A46BA5" w:rsidRDefault="00A46BA5" w:rsidP="00A46BA5">
            <w:pPr>
              <w:pStyle w:val="bullet"/>
              <w:numPr>
                <w:ilvl w:val="0"/>
                <w:numId w:val="22"/>
              </w:numPr>
              <w:spacing w:before="120" w:after="120"/>
              <w:ind w:right="113"/>
              <w:jc w:val="left"/>
              <w:rPr>
                <w:rFonts w:ascii="Arial" w:hAnsi="Arial"/>
                <w:color w:val="auto"/>
                <w:sz w:val="22"/>
              </w:rPr>
            </w:pPr>
            <w:r>
              <w:rPr>
                <w:rFonts w:ascii="Arial" w:hAnsi="Arial"/>
                <w:color w:val="auto"/>
                <w:sz w:val="22"/>
              </w:rPr>
              <w:t xml:space="preserve">Complex arrangements may be difficult and time consuming to administer </w:t>
            </w:r>
          </w:p>
          <w:p w14:paraId="401164C8" w14:textId="0917260D" w:rsidR="00A46BA5" w:rsidRDefault="00A46BA5" w:rsidP="00A46BA5">
            <w:pPr>
              <w:pStyle w:val="bullet"/>
              <w:numPr>
                <w:ilvl w:val="0"/>
                <w:numId w:val="22"/>
              </w:numPr>
              <w:spacing w:before="120" w:after="120"/>
              <w:ind w:right="113"/>
              <w:jc w:val="left"/>
              <w:rPr>
                <w:rFonts w:ascii="Arial" w:hAnsi="Arial"/>
                <w:color w:val="auto"/>
                <w:sz w:val="22"/>
              </w:rPr>
            </w:pPr>
            <w:r>
              <w:rPr>
                <w:rFonts w:ascii="Arial" w:hAnsi="Arial"/>
                <w:color w:val="auto"/>
                <w:sz w:val="22"/>
              </w:rPr>
              <w:t xml:space="preserve">Subjectivity in measuring performance against benchmarks, may lead to Company/Contractor friction </w:t>
            </w:r>
          </w:p>
          <w:p w14:paraId="4DE0CD65" w14:textId="77777777" w:rsidR="00A46BA5" w:rsidRDefault="00A46BA5" w:rsidP="009507D3">
            <w:pPr>
              <w:rPr>
                <w:rFonts w:ascii="Arial" w:hAnsi="Arial"/>
                <w:sz w:val="22"/>
              </w:rPr>
            </w:pPr>
          </w:p>
        </w:tc>
      </w:tr>
    </w:tbl>
    <w:p w14:paraId="1D92535E" w14:textId="77777777" w:rsidR="00A46BA5" w:rsidRDefault="00A46BA5" w:rsidP="00A46BA5"/>
    <w:p w14:paraId="6297BD86" w14:textId="77777777" w:rsidR="00BC7048" w:rsidRDefault="00BC7048" w:rsidP="00A46BA5"/>
    <w:p w14:paraId="7D172ABB" w14:textId="7B3D7B59" w:rsidR="00BC7048" w:rsidRDefault="00BC7048" w:rsidP="00A46BA5">
      <w:pPr>
        <w:rPr>
          <w:rFonts w:ascii="Arial" w:hAnsi="Arial"/>
          <w:b/>
          <w:sz w:val="24"/>
        </w:rPr>
      </w:pPr>
      <w:r>
        <w:rPr>
          <w:rFonts w:ascii="Arial" w:hAnsi="Arial"/>
          <w:b/>
          <w:sz w:val="24"/>
        </w:rPr>
        <w:t>5.</w:t>
      </w:r>
      <w:r w:rsidR="00817D60">
        <w:rPr>
          <w:rFonts w:ascii="Arial" w:hAnsi="Arial"/>
          <w:b/>
          <w:sz w:val="24"/>
        </w:rPr>
        <w:t>5</w:t>
      </w:r>
      <w:r>
        <w:rPr>
          <w:rFonts w:ascii="Arial" w:hAnsi="Arial"/>
          <w:b/>
          <w:sz w:val="24"/>
        </w:rPr>
        <w:tab/>
      </w:r>
      <w:proofErr w:type="spellStart"/>
      <w:r>
        <w:rPr>
          <w:rFonts w:ascii="Arial" w:hAnsi="Arial"/>
          <w:b/>
          <w:sz w:val="24"/>
        </w:rPr>
        <w:t>Dayrates</w:t>
      </w:r>
      <w:proofErr w:type="spellEnd"/>
    </w:p>
    <w:p w14:paraId="683A66CE" w14:textId="77777777" w:rsidR="00BC7048" w:rsidRDefault="00BC7048" w:rsidP="00A46BA5">
      <w:pPr>
        <w:rPr>
          <w:rFonts w:ascii="Arial" w:hAnsi="Arial"/>
          <w:b/>
          <w:sz w:val="24"/>
        </w:rPr>
      </w:pPr>
    </w:p>
    <w:p w14:paraId="091577C2" w14:textId="711FAB68" w:rsidR="00BC7048" w:rsidRPr="00817D60" w:rsidRDefault="00BC7048" w:rsidP="00817D60">
      <w:pPr>
        <w:ind w:left="851"/>
        <w:jc w:val="both"/>
        <w:rPr>
          <w:rFonts w:ascii="Arial" w:hAnsi="Arial"/>
          <w:sz w:val="24"/>
        </w:rPr>
      </w:pPr>
      <w:r>
        <w:rPr>
          <w:rFonts w:ascii="Arial" w:hAnsi="Arial"/>
          <w:sz w:val="24"/>
        </w:rPr>
        <w:t xml:space="preserve">Contract remuneration on a </w:t>
      </w:r>
      <w:proofErr w:type="spellStart"/>
      <w:r>
        <w:rPr>
          <w:rFonts w:ascii="Arial" w:hAnsi="Arial"/>
          <w:sz w:val="24"/>
        </w:rPr>
        <w:t>Dayrate</w:t>
      </w:r>
      <w:proofErr w:type="spellEnd"/>
      <w:r>
        <w:rPr>
          <w:rFonts w:ascii="Arial" w:hAnsi="Arial"/>
          <w:sz w:val="24"/>
        </w:rPr>
        <w:t xml:space="preserve"> basis covers a situation where the Contractor offers Company fixed daily rates for various categories of labour, plant or equipment.  The advantages and risks to Company of </w:t>
      </w:r>
      <w:proofErr w:type="spellStart"/>
      <w:r>
        <w:rPr>
          <w:rFonts w:ascii="Arial" w:hAnsi="Arial"/>
          <w:sz w:val="24"/>
        </w:rPr>
        <w:t>Dayrates</w:t>
      </w:r>
      <w:proofErr w:type="spellEnd"/>
      <w:r>
        <w:rPr>
          <w:rFonts w:ascii="Arial" w:hAnsi="Arial"/>
          <w:sz w:val="24"/>
        </w:rPr>
        <w:t xml:space="preserve"> are </w:t>
      </w:r>
      <w:proofErr w:type="gramStart"/>
      <w:r>
        <w:rPr>
          <w:rFonts w:ascii="Arial" w:hAnsi="Arial"/>
          <w:sz w:val="24"/>
        </w:rPr>
        <w:t>similar to</w:t>
      </w:r>
      <w:proofErr w:type="gramEnd"/>
      <w:r>
        <w:rPr>
          <w:rFonts w:ascii="Arial" w:hAnsi="Arial"/>
          <w:sz w:val="24"/>
        </w:rPr>
        <w:t xml:space="preserve"> the Reimbursable arrangement, although the </w:t>
      </w:r>
      <w:proofErr w:type="spellStart"/>
      <w:r>
        <w:rPr>
          <w:rFonts w:ascii="Arial" w:hAnsi="Arial"/>
          <w:sz w:val="24"/>
        </w:rPr>
        <w:t>Dayrate</w:t>
      </w:r>
      <w:proofErr w:type="spellEnd"/>
      <w:r>
        <w:rPr>
          <w:rFonts w:ascii="Arial" w:hAnsi="Arial"/>
          <w:sz w:val="24"/>
        </w:rPr>
        <w:t xml:space="preserve"> element and related working parameters may have been quantified and agreed in advance.</w:t>
      </w:r>
    </w:p>
    <w:p w14:paraId="7BE688DC" w14:textId="66FFAEFD" w:rsidR="00BC7048" w:rsidRDefault="00BC7048" w:rsidP="00BC7048">
      <w:pPr>
        <w:jc w:val="both"/>
        <w:rPr>
          <w:rFonts w:ascii="Arial" w:hAnsi="Arial"/>
          <w:b/>
          <w:sz w:val="24"/>
        </w:rPr>
      </w:pPr>
    </w:p>
    <w:p w14:paraId="26BE67C5" w14:textId="5C6C9631" w:rsidR="00064350" w:rsidRPr="001D53B3" w:rsidRDefault="00A46BA5" w:rsidP="001D53B3">
      <w:pPr>
        <w:pStyle w:val="Heading2"/>
        <w:rPr>
          <w:rFonts w:ascii="Arial" w:hAnsi="Arial" w:cs="Arial"/>
          <w:b/>
          <w:bCs/>
          <w:color w:val="auto"/>
        </w:rPr>
      </w:pPr>
      <w:bookmarkStart w:id="13" w:name="_Toc195617896"/>
      <w:r w:rsidRPr="001D53B3">
        <w:rPr>
          <w:rFonts w:ascii="Arial" w:hAnsi="Arial" w:cs="Arial"/>
          <w:b/>
          <w:bCs/>
          <w:color w:val="auto"/>
        </w:rPr>
        <w:lastRenderedPageBreak/>
        <w:t>6.</w:t>
      </w:r>
      <w:r w:rsidR="005B4ADD" w:rsidRPr="001D53B3">
        <w:rPr>
          <w:rFonts w:ascii="Arial" w:hAnsi="Arial" w:cs="Arial"/>
          <w:b/>
          <w:bCs/>
          <w:color w:val="auto"/>
        </w:rPr>
        <w:t xml:space="preserve">0    </w:t>
      </w:r>
      <w:r w:rsidRPr="001D53B3">
        <w:rPr>
          <w:rFonts w:ascii="Arial" w:hAnsi="Arial" w:cs="Arial"/>
          <w:b/>
          <w:bCs/>
          <w:color w:val="auto"/>
        </w:rPr>
        <w:t>ASSESSMENT OF CONTRACTUAL RISK</w:t>
      </w:r>
      <w:bookmarkEnd w:id="13"/>
      <w:r w:rsidR="00064350" w:rsidRPr="001D53B3">
        <w:rPr>
          <w:rFonts w:ascii="Arial" w:hAnsi="Arial" w:cs="Arial"/>
          <w:b/>
          <w:bCs/>
          <w:color w:val="auto"/>
        </w:rPr>
        <w:t xml:space="preserve"> </w:t>
      </w:r>
    </w:p>
    <w:p w14:paraId="6FA61224" w14:textId="53433F25" w:rsidR="00064350" w:rsidRPr="00064350" w:rsidRDefault="001D53B3" w:rsidP="0067445C">
      <w:pPr>
        <w:rPr>
          <w:rFonts w:ascii="Arial" w:hAnsi="Arial"/>
          <w:b/>
          <w:sz w:val="24"/>
        </w:rPr>
      </w:pPr>
      <w:r>
        <w:rPr>
          <w:rFonts w:ascii="Arial" w:hAnsi="Arial"/>
          <w:b/>
          <w:sz w:val="24"/>
        </w:rPr>
        <w:t xml:space="preserve">            </w:t>
      </w:r>
      <w:r w:rsidR="00064350" w:rsidRPr="00157436">
        <w:rPr>
          <w:rFonts w:ascii="Arial" w:hAnsi="Arial"/>
          <w:b/>
          <w:sz w:val="24"/>
        </w:rPr>
        <w:t>Note - Criteria parameters in Risk Assessment Model are indicative only</w:t>
      </w:r>
    </w:p>
    <w:p w14:paraId="016EF063" w14:textId="5112EB4F" w:rsidR="00A46BA5" w:rsidRDefault="00A46BA5" w:rsidP="00BC7048">
      <w:pPr>
        <w:jc w:val="both"/>
        <w:rPr>
          <w:rFonts w:ascii="Arial" w:hAnsi="Arial"/>
          <w:b/>
          <w:sz w:val="24"/>
        </w:rPr>
      </w:pPr>
    </w:p>
    <w:p w14:paraId="1808C894" w14:textId="77777777" w:rsidR="00A46BA5" w:rsidRDefault="00A46BA5" w:rsidP="00A46BA5">
      <w:pPr>
        <w:pStyle w:val="BodyText"/>
        <w:jc w:val="both"/>
      </w:pPr>
    </w:p>
    <w:p w14:paraId="24039B9A" w14:textId="75970AE2" w:rsidR="00A46BA5" w:rsidRDefault="00A46BA5" w:rsidP="00A46BA5">
      <w:pPr>
        <w:pStyle w:val="BodyText"/>
        <w:ind w:left="851"/>
        <w:jc w:val="both"/>
      </w:pPr>
      <w:r>
        <w:t xml:space="preserve">The level of contract risk is used to determine the degree of control and management required by Company to mitigate its exposure.  In the case of medium or </w:t>
      </w:r>
      <w:r w:rsidR="00996677">
        <w:t>high-risk</w:t>
      </w:r>
      <w:r>
        <w:t xml:space="preserve"> contracts, such action may include:</w:t>
      </w:r>
    </w:p>
    <w:p w14:paraId="39752D03" w14:textId="77777777" w:rsidR="00A46BA5" w:rsidRDefault="00A46BA5" w:rsidP="00A46BA5">
      <w:pPr>
        <w:pStyle w:val="BodyText"/>
        <w:ind w:left="851"/>
        <w:jc w:val="both"/>
      </w:pPr>
    </w:p>
    <w:p w14:paraId="5F4CA7EA" w14:textId="77777777" w:rsidR="00A46BA5" w:rsidRDefault="00A46BA5" w:rsidP="00A46BA5">
      <w:pPr>
        <w:pStyle w:val="BodyText"/>
        <w:tabs>
          <w:tab w:val="left" w:pos="1560"/>
        </w:tabs>
        <w:ind w:left="1560" w:hanging="709"/>
        <w:jc w:val="both"/>
      </w:pPr>
      <w:r>
        <w:t>(</w:t>
      </w:r>
      <w:proofErr w:type="spellStart"/>
      <w:r>
        <w:t>i</w:t>
      </w:r>
      <w:proofErr w:type="spellEnd"/>
      <w:r>
        <w:t>)</w:t>
      </w:r>
      <w:r>
        <w:tab/>
        <w:t>comprehensive prequalification</w:t>
      </w:r>
    </w:p>
    <w:p w14:paraId="1AD299AC" w14:textId="77777777" w:rsidR="00A46BA5" w:rsidRDefault="00A46BA5" w:rsidP="00A46BA5">
      <w:pPr>
        <w:pStyle w:val="BodyText"/>
        <w:tabs>
          <w:tab w:val="left" w:pos="1560"/>
        </w:tabs>
        <w:ind w:left="1560" w:hanging="709"/>
        <w:jc w:val="both"/>
      </w:pPr>
    </w:p>
    <w:p w14:paraId="1C5E10E9" w14:textId="77777777" w:rsidR="00A46BA5" w:rsidRDefault="00A46BA5" w:rsidP="00A46BA5">
      <w:pPr>
        <w:pStyle w:val="BodyText"/>
        <w:tabs>
          <w:tab w:val="left" w:pos="1560"/>
        </w:tabs>
        <w:ind w:left="1560" w:hanging="709"/>
        <w:jc w:val="both"/>
      </w:pPr>
      <w:r>
        <w:t xml:space="preserve">(ii) </w:t>
      </w:r>
      <w:r>
        <w:tab/>
        <w:t>implementation of bridging documents to align Company and Contractor HSE management systems</w:t>
      </w:r>
    </w:p>
    <w:p w14:paraId="5FBB81AD" w14:textId="77777777" w:rsidR="00A46BA5" w:rsidRDefault="00A46BA5" w:rsidP="00A46BA5">
      <w:pPr>
        <w:pStyle w:val="BodyText"/>
        <w:tabs>
          <w:tab w:val="left" w:pos="1560"/>
        </w:tabs>
        <w:ind w:left="1560" w:hanging="709"/>
        <w:jc w:val="both"/>
      </w:pPr>
    </w:p>
    <w:p w14:paraId="376AAB2E" w14:textId="77777777" w:rsidR="00A46BA5" w:rsidRDefault="00A46BA5" w:rsidP="00A46BA5">
      <w:pPr>
        <w:pStyle w:val="BodyText"/>
        <w:tabs>
          <w:tab w:val="left" w:pos="1560"/>
        </w:tabs>
        <w:ind w:left="851"/>
        <w:jc w:val="both"/>
      </w:pPr>
      <w:r>
        <w:t>(iii)</w:t>
      </w:r>
      <w:r>
        <w:tab/>
        <w:t>planned audit programme</w:t>
      </w:r>
    </w:p>
    <w:p w14:paraId="1235DBAE" w14:textId="77777777" w:rsidR="00A46BA5" w:rsidRDefault="00A46BA5" w:rsidP="00A46BA5">
      <w:pPr>
        <w:pStyle w:val="BodyText"/>
        <w:tabs>
          <w:tab w:val="left" w:pos="1560"/>
        </w:tabs>
        <w:ind w:left="851"/>
        <w:jc w:val="both"/>
      </w:pPr>
    </w:p>
    <w:p w14:paraId="37395F21" w14:textId="77777777" w:rsidR="00A46BA5" w:rsidRDefault="00A46BA5" w:rsidP="00A46BA5">
      <w:pPr>
        <w:pStyle w:val="BodyText"/>
        <w:tabs>
          <w:tab w:val="left" w:pos="1560"/>
        </w:tabs>
        <w:ind w:left="851"/>
        <w:jc w:val="both"/>
      </w:pPr>
      <w:r>
        <w:t>(iv)</w:t>
      </w:r>
      <w:r>
        <w:tab/>
        <w:t>regular site and management inspections</w:t>
      </w:r>
    </w:p>
    <w:p w14:paraId="2F034251" w14:textId="77777777" w:rsidR="00A46BA5" w:rsidRDefault="00A46BA5" w:rsidP="00A46BA5">
      <w:pPr>
        <w:pStyle w:val="BodyText"/>
        <w:ind w:left="851"/>
        <w:jc w:val="both"/>
      </w:pPr>
      <w:r>
        <w:t xml:space="preserve"> </w:t>
      </w:r>
    </w:p>
    <w:p w14:paraId="2B13E249" w14:textId="77777777" w:rsidR="00A46BA5" w:rsidRDefault="00A46BA5" w:rsidP="00A46BA5">
      <w:pPr>
        <w:ind w:left="851"/>
        <w:jc w:val="both"/>
        <w:rPr>
          <w:rFonts w:ascii="Arial" w:hAnsi="Arial"/>
          <w:sz w:val="24"/>
        </w:rPr>
      </w:pPr>
    </w:p>
    <w:p w14:paraId="34DCE196" w14:textId="5EF8C4F0" w:rsidR="00A46BA5" w:rsidRDefault="00A46BA5" w:rsidP="00A46BA5">
      <w:pPr>
        <w:ind w:left="851"/>
        <w:jc w:val="both"/>
        <w:rPr>
          <w:rFonts w:ascii="Arial" w:hAnsi="Arial"/>
          <w:sz w:val="24"/>
        </w:rPr>
      </w:pPr>
      <w:r>
        <w:rPr>
          <w:rFonts w:ascii="Arial" w:hAnsi="Arial"/>
          <w:sz w:val="24"/>
        </w:rPr>
        <w:t xml:space="preserve">Contract risk assessment is a subjective appraisal of the risk inherent in the </w:t>
      </w:r>
      <w:r>
        <w:rPr>
          <w:rFonts w:ascii="Arial" w:hAnsi="Arial"/>
          <w:color w:val="000000"/>
          <w:sz w:val="24"/>
        </w:rPr>
        <w:t xml:space="preserve">Scope of Work.  It considers two parameters: the potential severity of the </w:t>
      </w:r>
      <w:r>
        <w:rPr>
          <w:rFonts w:ascii="Arial" w:hAnsi="Arial"/>
          <w:b/>
          <w:color w:val="000000"/>
          <w:sz w:val="24"/>
        </w:rPr>
        <w:t xml:space="preserve">IMPACT </w:t>
      </w:r>
      <w:r>
        <w:rPr>
          <w:rFonts w:ascii="Arial" w:hAnsi="Arial"/>
          <w:color w:val="000000"/>
          <w:sz w:val="24"/>
        </w:rPr>
        <w:t>of</w:t>
      </w:r>
      <w:r>
        <w:rPr>
          <w:rFonts w:ascii="Arial" w:hAnsi="Arial"/>
          <w:sz w:val="24"/>
        </w:rPr>
        <w:t xml:space="preserve"> an incident and the </w:t>
      </w:r>
      <w:r>
        <w:rPr>
          <w:rFonts w:ascii="Arial" w:hAnsi="Arial"/>
          <w:b/>
          <w:sz w:val="24"/>
        </w:rPr>
        <w:t>LIKELIHOOD</w:t>
      </w:r>
      <w:r>
        <w:rPr>
          <w:rFonts w:ascii="Arial" w:hAnsi="Arial"/>
          <w:sz w:val="24"/>
        </w:rPr>
        <w:t xml:space="preserve"> that the incident will occur.</w:t>
      </w:r>
    </w:p>
    <w:p w14:paraId="18C713E2" w14:textId="77777777" w:rsidR="00A46BA5" w:rsidRDefault="00A46BA5" w:rsidP="00A46BA5">
      <w:pPr>
        <w:ind w:left="851" w:hanging="851"/>
        <w:jc w:val="both"/>
        <w:rPr>
          <w:rFonts w:ascii="Arial" w:hAnsi="Arial"/>
          <w:b/>
          <w:color w:val="000000"/>
          <w:sz w:val="24"/>
        </w:rPr>
      </w:pPr>
    </w:p>
    <w:p w14:paraId="28527728" w14:textId="77777777" w:rsidR="00A46BA5" w:rsidRDefault="00A46BA5" w:rsidP="00A46BA5">
      <w:pPr>
        <w:ind w:left="851"/>
        <w:jc w:val="both"/>
        <w:rPr>
          <w:rFonts w:ascii="Arial" w:hAnsi="Arial"/>
          <w:sz w:val="24"/>
        </w:rPr>
      </w:pPr>
      <w:r>
        <w:rPr>
          <w:rFonts w:ascii="Arial" w:hAnsi="Arial"/>
          <w:b/>
          <w:color w:val="000000"/>
          <w:sz w:val="24"/>
          <w:u w:val="single"/>
        </w:rPr>
        <w:t xml:space="preserve">IMPACT </w:t>
      </w:r>
      <w:r>
        <w:rPr>
          <w:rFonts w:ascii="Arial" w:hAnsi="Arial"/>
          <w:color w:val="000000"/>
          <w:sz w:val="24"/>
          <w:u w:val="single"/>
        </w:rPr>
        <w:t>is</w:t>
      </w:r>
      <w:r>
        <w:rPr>
          <w:rFonts w:ascii="Arial" w:hAnsi="Arial"/>
          <w:sz w:val="24"/>
          <w:u w:val="single"/>
        </w:rPr>
        <w:t xml:space="preserve"> classified as one of the following</w:t>
      </w:r>
      <w:r>
        <w:rPr>
          <w:rFonts w:ascii="Arial" w:hAnsi="Arial"/>
          <w:sz w:val="24"/>
        </w:rPr>
        <w:t>:</w:t>
      </w:r>
    </w:p>
    <w:p w14:paraId="7EB1F9E4" w14:textId="77777777" w:rsidR="00A46BA5" w:rsidRDefault="00A46BA5" w:rsidP="00A46BA5">
      <w:pPr>
        <w:ind w:left="851"/>
        <w:jc w:val="both"/>
        <w:rPr>
          <w:rFonts w:ascii="Arial" w:hAnsi="Arial"/>
          <w:sz w:val="24"/>
        </w:rPr>
      </w:pPr>
    </w:p>
    <w:p w14:paraId="0CCCA128" w14:textId="77777777" w:rsidR="00A46BA5" w:rsidRDefault="00A46BA5" w:rsidP="00A46BA5">
      <w:pPr>
        <w:ind w:left="1701" w:hanging="851"/>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High</w:t>
      </w:r>
    </w:p>
    <w:p w14:paraId="214F42CA" w14:textId="77777777" w:rsidR="00A46BA5" w:rsidRDefault="00A46BA5" w:rsidP="00A46BA5">
      <w:pPr>
        <w:ind w:left="1701" w:hanging="851"/>
        <w:rPr>
          <w:rFonts w:ascii="Arial" w:hAnsi="Arial"/>
          <w:sz w:val="24"/>
        </w:rPr>
      </w:pPr>
    </w:p>
    <w:p w14:paraId="78C20F41" w14:textId="77777777" w:rsidR="00A46BA5" w:rsidRDefault="00A46BA5" w:rsidP="00A46BA5">
      <w:pPr>
        <w:ind w:left="1701" w:hanging="851"/>
        <w:rPr>
          <w:rFonts w:ascii="Arial" w:hAnsi="Arial"/>
          <w:sz w:val="24"/>
        </w:rPr>
      </w:pPr>
      <w:r>
        <w:rPr>
          <w:rFonts w:ascii="Arial" w:hAnsi="Arial"/>
          <w:sz w:val="24"/>
        </w:rPr>
        <w:t>(ii)</w:t>
      </w:r>
      <w:r>
        <w:rPr>
          <w:rFonts w:ascii="Arial" w:hAnsi="Arial"/>
          <w:sz w:val="24"/>
        </w:rPr>
        <w:tab/>
        <w:t xml:space="preserve">Medium  </w:t>
      </w:r>
    </w:p>
    <w:p w14:paraId="47D02294" w14:textId="77777777" w:rsidR="00A46BA5" w:rsidRDefault="00A46BA5" w:rsidP="00A46BA5">
      <w:pPr>
        <w:ind w:left="1701" w:hanging="851"/>
        <w:rPr>
          <w:rFonts w:ascii="Arial" w:hAnsi="Arial"/>
          <w:sz w:val="24"/>
        </w:rPr>
      </w:pPr>
    </w:p>
    <w:p w14:paraId="16CB6C3F" w14:textId="77777777" w:rsidR="00A46BA5" w:rsidRDefault="00A46BA5" w:rsidP="00A46BA5">
      <w:pPr>
        <w:ind w:left="1701" w:hanging="851"/>
        <w:rPr>
          <w:rFonts w:ascii="Arial" w:hAnsi="Arial"/>
          <w:sz w:val="24"/>
        </w:rPr>
      </w:pPr>
      <w:r>
        <w:rPr>
          <w:rFonts w:ascii="Arial" w:hAnsi="Arial"/>
          <w:sz w:val="24"/>
        </w:rPr>
        <w:t>(iii)</w:t>
      </w:r>
      <w:r>
        <w:rPr>
          <w:rFonts w:ascii="Arial" w:hAnsi="Arial"/>
          <w:sz w:val="24"/>
        </w:rPr>
        <w:tab/>
        <w:t>Low</w:t>
      </w:r>
    </w:p>
    <w:p w14:paraId="1504769E" w14:textId="77777777" w:rsidR="00A46BA5" w:rsidRDefault="00A46BA5" w:rsidP="00A46BA5">
      <w:pPr>
        <w:ind w:left="851" w:hanging="851"/>
        <w:jc w:val="both"/>
        <w:rPr>
          <w:rFonts w:ascii="Arial" w:hAnsi="Arial"/>
          <w:b/>
          <w:sz w:val="24"/>
        </w:rPr>
      </w:pPr>
    </w:p>
    <w:p w14:paraId="67475B0C" w14:textId="77777777" w:rsidR="00A46BA5" w:rsidRDefault="00A46BA5" w:rsidP="00A46BA5">
      <w:pPr>
        <w:ind w:left="851"/>
        <w:jc w:val="both"/>
        <w:rPr>
          <w:rFonts w:ascii="Arial" w:hAnsi="Arial"/>
          <w:sz w:val="24"/>
        </w:rPr>
      </w:pPr>
      <w:r>
        <w:rPr>
          <w:rFonts w:ascii="Arial" w:hAnsi="Arial"/>
          <w:sz w:val="24"/>
        </w:rPr>
        <w:t>according to the impact on People, Environment, or Business.  These classifications are expanded in the model below.</w:t>
      </w:r>
    </w:p>
    <w:p w14:paraId="377CB86C" w14:textId="77777777" w:rsidR="00A46BA5" w:rsidRDefault="00A46BA5" w:rsidP="00A46BA5">
      <w:pPr>
        <w:ind w:left="851"/>
        <w:jc w:val="both"/>
        <w:rPr>
          <w:rFonts w:ascii="Arial" w:hAnsi="Arial"/>
          <w:sz w:val="24"/>
        </w:rPr>
      </w:pPr>
    </w:p>
    <w:p w14:paraId="46BBD1A3" w14:textId="77777777" w:rsidR="00A46BA5" w:rsidRDefault="00A46BA5" w:rsidP="00A46BA5">
      <w:pPr>
        <w:ind w:left="851"/>
        <w:rPr>
          <w:rFonts w:ascii="Arial" w:hAnsi="Arial"/>
          <w:sz w:val="24"/>
        </w:rPr>
      </w:pPr>
    </w:p>
    <w:p w14:paraId="2E664237" w14:textId="77777777" w:rsidR="00A46BA5" w:rsidRDefault="00A46BA5" w:rsidP="00A46BA5">
      <w:pPr>
        <w:ind w:left="851"/>
        <w:rPr>
          <w:rFonts w:ascii="Arial" w:hAnsi="Arial"/>
          <w:sz w:val="24"/>
        </w:rPr>
      </w:pPr>
      <w:r>
        <w:rPr>
          <w:rFonts w:ascii="Arial" w:hAnsi="Arial"/>
          <w:b/>
          <w:sz w:val="24"/>
          <w:u w:val="single"/>
        </w:rPr>
        <w:t>LIKELIHOOD</w:t>
      </w:r>
      <w:r>
        <w:rPr>
          <w:rFonts w:ascii="Arial" w:hAnsi="Arial"/>
          <w:sz w:val="24"/>
          <w:u w:val="single"/>
        </w:rPr>
        <w:t xml:space="preserve"> is classified as one of the following</w:t>
      </w:r>
      <w:r>
        <w:rPr>
          <w:rFonts w:ascii="Arial" w:hAnsi="Arial"/>
          <w:sz w:val="24"/>
        </w:rPr>
        <w:t>:</w:t>
      </w:r>
    </w:p>
    <w:p w14:paraId="24071651" w14:textId="77777777" w:rsidR="00A46BA5" w:rsidRDefault="00A46BA5" w:rsidP="00A46BA5">
      <w:pPr>
        <w:ind w:left="851"/>
        <w:rPr>
          <w:rFonts w:ascii="Arial" w:hAnsi="Arial"/>
          <w:sz w:val="24"/>
        </w:rPr>
      </w:pPr>
    </w:p>
    <w:p w14:paraId="3EEFEF34" w14:textId="77777777" w:rsidR="00A46BA5" w:rsidRDefault="00A46BA5" w:rsidP="00A46BA5">
      <w:pPr>
        <w:ind w:left="1701" w:hanging="851"/>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Likely</w:t>
      </w:r>
      <w:r>
        <w:rPr>
          <w:rFonts w:ascii="Arial" w:hAnsi="Arial"/>
          <w:sz w:val="24"/>
        </w:rPr>
        <w:tab/>
        <w:t>(e.g. wireline breaking during operations)</w:t>
      </w:r>
    </w:p>
    <w:p w14:paraId="15B86633" w14:textId="77777777" w:rsidR="00A46BA5" w:rsidRDefault="00A46BA5" w:rsidP="00A46BA5">
      <w:pPr>
        <w:ind w:left="1701" w:hanging="851"/>
        <w:rPr>
          <w:rFonts w:ascii="Arial" w:hAnsi="Arial"/>
          <w:sz w:val="24"/>
        </w:rPr>
      </w:pPr>
    </w:p>
    <w:p w14:paraId="5E3570DE" w14:textId="77777777" w:rsidR="00A46BA5" w:rsidRDefault="00A46BA5" w:rsidP="00A46BA5">
      <w:pPr>
        <w:ind w:left="1701" w:hanging="851"/>
        <w:rPr>
          <w:rFonts w:ascii="Arial" w:hAnsi="Arial"/>
          <w:sz w:val="24"/>
        </w:rPr>
      </w:pPr>
      <w:r>
        <w:rPr>
          <w:rFonts w:ascii="Arial" w:hAnsi="Arial"/>
          <w:sz w:val="24"/>
        </w:rPr>
        <w:t>(ii)</w:t>
      </w:r>
      <w:r>
        <w:rPr>
          <w:rFonts w:ascii="Arial" w:hAnsi="Arial"/>
          <w:sz w:val="24"/>
        </w:rPr>
        <w:tab/>
        <w:t>Possible</w:t>
      </w:r>
      <w:r>
        <w:rPr>
          <w:rFonts w:ascii="Arial" w:hAnsi="Arial"/>
          <w:sz w:val="24"/>
        </w:rPr>
        <w:tab/>
        <w:t xml:space="preserve">(e.g. mast collapse during </w:t>
      </w:r>
      <w:proofErr w:type="spellStart"/>
      <w:r>
        <w:rPr>
          <w:rFonts w:ascii="Arial" w:hAnsi="Arial"/>
          <w:sz w:val="24"/>
        </w:rPr>
        <w:t>wirelining</w:t>
      </w:r>
      <w:proofErr w:type="spellEnd"/>
      <w:r>
        <w:rPr>
          <w:rFonts w:ascii="Arial" w:hAnsi="Arial"/>
          <w:sz w:val="24"/>
        </w:rPr>
        <w:t>)</w:t>
      </w:r>
    </w:p>
    <w:p w14:paraId="4337D348" w14:textId="77777777" w:rsidR="00A46BA5" w:rsidRDefault="00A46BA5" w:rsidP="00A46BA5">
      <w:pPr>
        <w:rPr>
          <w:rFonts w:ascii="Arial" w:hAnsi="Arial"/>
          <w:sz w:val="24"/>
        </w:rPr>
      </w:pPr>
    </w:p>
    <w:p w14:paraId="4FB15ACE" w14:textId="77777777" w:rsidR="00A46BA5" w:rsidRDefault="00A46BA5" w:rsidP="00A46BA5">
      <w:pPr>
        <w:ind w:left="1701" w:hanging="851"/>
        <w:rPr>
          <w:rFonts w:ascii="Arial" w:hAnsi="Arial"/>
          <w:sz w:val="24"/>
        </w:rPr>
      </w:pPr>
      <w:r>
        <w:rPr>
          <w:rFonts w:ascii="Arial" w:hAnsi="Arial"/>
          <w:sz w:val="24"/>
        </w:rPr>
        <w:t>(iii)</w:t>
      </w:r>
      <w:r>
        <w:rPr>
          <w:rFonts w:ascii="Arial" w:hAnsi="Arial"/>
          <w:sz w:val="24"/>
        </w:rPr>
        <w:tab/>
        <w:t>Remote</w:t>
      </w:r>
      <w:r>
        <w:rPr>
          <w:rFonts w:ascii="Arial" w:hAnsi="Arial"/>
          <w:sz w:val="24"/>
        </w:rPr>
        <w:tab/>
        <w:t xml:space="preserve">(e.g. blowout during </w:t>
      </w:r>
      <w:proofErr w:type="spellStart"/>
      <w:r>
        <w:rPr>
          <w:rFonts w:ascii="Arial" w:hAnsi="Arial"/>
          <w:sz w:val="24"/>
        </w:rPr>
        <w:t>wirelining</w:t>
      </w:r>
      <w:proofErr w:type="spellEnd"/>
      <w:r>
        <w:rPr>
          <w:rFonts w:ascii="Arial" w:hAnsi="Arial"/>
          <w:sz w:val="24"/>
        </w:rPr>
        <w:t>)</w:t>
      </w:r>
    </w:p>
    <w:p w14:paraId="61F56F05" w14:textId="77777777" w:rsidR="00A46BA5" w:rsidRDefault="00A46BA5" w:rsidP="00A46BA5">
      <w:pPr>
        <w:ind w:left="851" w:hanging="851"/>
        <w:jc w:val="both"/>
      </w:pPr>
    </w:p>
    <w:p w14:paraId="1FB0F905" w14:textId="77777777" w:rsidR="00A46BA5" w:rsidRDefault="00A46BA5" w:rsidP="00A46BA5">
      <w:pPr>
        <w:ind w:left="851"/>
        <w:rPr>
          <w:rFonts w:ascii="Arial" w:hAnsi="Arial"/>
          <w:sz w:val="24"/>
        </w:rPr>
      </w:pPr>
    </w:p>
    <w:p w14:paraId="4330A4BD" w14:textId="32BB795C" w:rsidR="00A46BA5" w:rsidRDefault="00A46BA5" w:rsidP="00A46BA5">
      <w:pPr>
        <w:pStyle w:val="BodyText"/>
        <w:ind w:left="851"/>
        <w:jc w:val="both"/>
      </w:pPr>
      <w:r>
        <w:lastRenderedPageBreak/>
        <w:t xml:space="preserve">The decision tree in the Contract Risk Assessment model below shows how Impact and Likelihood are used to generate a contract risk ranking of Low, Medium or High. </w:t>
      </w:r>
    </w:p>
    <w:p w14:paraId="3C2CCC57" w14:textId="72762EFD" w:rsidR="00A46BA5" w:rsidRDefault="00A46BA5" w:rsidP="00A46BA5">
      <w:pPr>
        <w:jc w:val="center"/>
        <w:rPr>
          <w:rFonts w:ascii="Arial" w:hAnsi="Arial"/>
          <w:b/>
          <w:sz w:val="24"/>
        </w:rPr>
      </w:pPr>
    </w:p>
    <w:p w14:paraId="1DA7EBBE" w14:textId="77777777" w:rsidR="00A46BA5" w:rsidRDefault="00A46BA5" w:rsidP="00A46BA5">
      <w:pPr>
        <w:jc w:val="center"/>
        <w:rPr>
          <w:rFonts w:ascii="Arial" w:hAnsi="Arial"/>
          <w:b/>
          <w:sz w:val="24"/>
        </w:rPr>
      </w:pPr>
    </w:p>
    <w:p w14:paraId="4E0B8C19" w14:textId="77777777" w:rsidR="00A46BA5" w:rsidRDefault="00A46BA5" w:rsidP="00A46BA5">
      <w:pPr>
        <w:jc w:val="center"/>
        <w:rPr>
          <w:rFonts w:ascii="Arial" w:hAnsi="Arial"/>
          <w:b/>
          <w:sz w:val="28"/>
        </w:rPr>
      </w:pPr>
      <w:r>
        <w:rPr>
          <w:rFonts w:ascii="Arial" w:hAnsi="Arial"/>
          <w:b/>
          <w:sz w:val="28"/>
        </w:rPr>
        <w:t xml:space="preserve"> Contract Risk Assessment Model</w:t>
      </w:r>
    </w:p>
    <w:p w14:paraId="2C0A7E24" w14:textId="77777777" w:rsidR="00A46BA5" w:rsidRDefault="00A46BA5" w:rsidP="00A46BA5">
      <w:pPr>
        <w:jc w:val="center"/>
        <w:rPr>
          <w:rFonts w:ascii="Arial" w:hAnsi="Arial"/>
          <w:b/>
          <w:sz w:val="24"/>
        </w:rPr>
      </w:pPr>
    </w:p>
    <w:p w14:paraId="2995E380" w14:textId="77777777" w:rsidR="00A46BA5" w:rsidRDefault="00A46BA5" w:rsidP="00A46BA5">
      <w:pPr>
        <w:jc w:val="center"/>
        <w:rPr>
          <w:rFonts w:ascii="Arial" w:hAnsi="Arial"/>
          <w:b/>
          <w:sz w:val="24"/>
        </w:rPr>
      </w:pPr>
    </w:p>
    <w:p w14:paraId="764576B8" w14:textId="563D9192" w:rsidR="00A46BA5" w:rsidRDefault="00A46BA5" w:rsidP="00A46BA5">
      <w:pPr>
        <w:jc w:val="center"/>
        <w:rPr>
          <w:rFonts w:ascii="Arial" w:hAnsi="Arial"/>
          <w:b/>
          <w:sz w:val="24"/>
        </w:rPr>
      </w:pPr>
      <w:r>
        <w:rPr>
          <w:noProof/>
        </w:rPr>
        <w:drawing>
          <wp:anchor distT="0" distB="0" distL="114300" distR="114300" simplePos="0" relativeHeight="251660288" behindDoc="0" locked="0" layoutInCell="0" allowOverlap="1" wp14:anchorId="72C34027" wp14:editId="21DA7EC2">
            <wp:simplePos x="0" y="0"/>
            <wp:positionH relativeFrom="column">
              <wp:posOffset>0</wp:posOffset>
            </wp:positionH>
            <wp:positionV relativeFrom="paragraph">
              <wp:posOffset>370205</wp:posOffset>
            </wp:positionV>
            <wp:extent cx="5955030" cy="3635375"/>
            <wp:effectExtent l="0" t="0" r="7620" b="3175"/>
            <wp:wrapTopAndBottom/>
            <wp:docPr id="1386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5030" cy="363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86D26" w14:textId="77777777" w:rsidR="00A46BA5" w:rsidRDefault="00A46BA5" w:rsidP="00A46BA5">
      <w:pPr>
        <w:ind w:left="851" w:hanging="851"/>
        <w:jc w:val="both"/>
        <w:rPr>
          <w:rFonts w:ascii="Arial" w:hAnsi="Arial"/>
          <w:b/>
          <w:sz w:val="24"/>
        </w:rPr>
      </w:pPr>
    </w:p>
    <w:p w14:paraId="2CB031D5" w14:textId="77777777" w:rsidR="00A46BA5" w:rsidRDefault="00A46BA5" w:rsidP="00A46BA5">
      <w:pPr>
        <w:ind w:left="851" w:hanging="851"/>
        <w:jc w:val="both"/>
        <w:rPr>
          <w:rFonts w:ascii="Arial" w:hAnsi="Arial"/>
          <w:b/>
          <w:sz w:val="24"/>
        </w:rPr>
      </w:pPr>
    </w:p>
    <w:p w14:paraId="5D948CEC" w14:textId="77777777" w:rsidR="006C638E" w:rsidRDefault="006C638E"/>
    <w:sectPr w:rsidR="006C638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E32B" w14:textId="77777777" w:rsidR="00205D07" w:rsidRDefault="00205D07" w:rsidP="00A46BA5">
      <w:r>
        <w:separator/>
      </w:r>
    </w:p>
  </w:endnote>
  <w:endnote w:type="continuationSeparator" w:id="0">
    <w:p w14:paraId="61769F53" w14:textId="77777777" w:rsidR="00205D07" w:rsidRDefault="00205D07" w:rsidP="00A4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363270"/>
      <w:docPartObj>
        <w:docPartGallery w:val="Page Numbers (Bottom of Page)"/>
        <w:docPartUnique/>
      </w:docPartObj>
    </w:sdtPr>
    <w:sdtContent>
      <w:p w14:paraId="1F5DB6C8" w14:textId="00F7691E" w:rsidR="00BC7048" w:rsidRDefault="00BC704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F962108" w14:textId="77777777" w:rsidR="00A46BA5" w:rsidRDefault="00A4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5871" w14:textId="77777777" w:rsidR="00205D07" w:rsidRDefault="00205D07" w:rsidP="00A46BA5">
      <w:r>
        <w:separator/>
      </w:r>
    </w:p>
  </w:footnote>
  <w:footnote w:type="continuationSeparator" w:id="0">
    <w:p w14:paraId="404821F3" w14:textId="77777777" w:rsidR="00205D07" w:rsidRDefault="00205D07" w:rsidP="00A4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88D9" w14:textId="77777777" w:rsidR="00A46BA5" w:rsidRDefault="00A46BA5" w:rsidP="002753EB">
    <w:pPr>
      <w:pStyle w:val="Subheading"/>
    </w:pPr>
    <w:bookmarkStart w:id="0" w:name="_Hlk195259154"/>
  </w:p>
  <w:p w14:paraId="57B2F02E" w14:textId="637F162D" w:rsidR="00A46BA5" w:rsidRDefault="00A46BA5" w:rsidP="00681A8E">
    <w:pPr>
      <w:pStyle w:val="Subheading"/>
      <w:jc w:val="center"/>
    </w:pPr>
    <w:r>
      <w:t>NJE QUANTITY surveyinG LTD</w:t>
    </w:r>
  </w:p>
  <w:bookmarkEnd w:id="0"/>
  <w:p w14:paraId="06B4FE97" w14:textId="77777777" w:rsidR="00A46BA5" w:rsidRDefault="00A46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A323" w14:textId="77777777" w:rsidR="000E2EB6" w:rsidRDefault="000E2EB6" w:rsidP="001F0A94">
    <w:pPr>
      <w:pStyle w:val="Subheading"/>
      <w:jc w:val="center"/>
    </w:pPr>
  </w:p>
  <w:p w14:paraId="6D0627C4" w14:textId="2C617811" w:rsidR="000E2EB6" w:rsidRDefault="000E2EB6" w:rsidP="001F0A94">
    <w:pPr>
      <w:pStyle w:val="Subheading"/>
      <w:jc w:val="center"/>
    </w:pPr>
    <w:r>
      <w:t>NJE QUANTITY surveyinG LTD</w:t>
    </w:r>
  </w:p>
  <w:p w14:paraId="0EED60FC" w14:textId="101495E2" w:rsidR="00A46BA5" w:rsidRPr="000E2EB6" w:rsidRDefault="00A46BA5" w:rsidP="000E2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E389" w14:textId="77777777" w:rsidR="00A46BA5" w:rsidRDefault="00A46BA5" w:rsidP="00A46BA5">
    <w:pPr>
      <w:pStyle w:val="Subheading"/>
    </w:pPr>
  </w:p>
  <w:p w14:paraId="5EA5C44D" w14:textId="77777777" w:rsidR="00A46BA5" w:rsidRDefault="00A46BA5" w:rsidP="001F0A94">
    <w:pPr>
      <w:pStyle w:val="Subheading"/>
      <w:jc w:val="center"/>
    </w:pPr>
    <w:r>
      <w:t>NJE QUANTITY surveyinG LTD</w:t>
    </w:r>
  </w:p>
  <w:p w14:paraId="6159894A" w14:textId="77777777" w:rsidR="00A46BA5" w:rsidRDefault="00A46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C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165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32BDB"/>
    <w:multiLevelType w:val="singleLevel"/>
    <w:tmpl w:val="0C0A612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2D66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F7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BB14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4A28BF"/>
    <w:multiLevelType w:val="hybridMultilevel"/>
    <w:tmpl w:val="C3681414"/>
    <w:lvl w:ilvl="0" w:tplc="D1B45F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3759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0748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1C5B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F79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A03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011B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7E5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9564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E06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2950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D670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137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AB0E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EE0E31"/>
    <w:multiLevelType w:val="hybridMultilevel"/>
    <w:tmpl w:val="C3681414"/>
    <w:lvl w:ilvl="0" w:tplc="FFFFFFFF">
      <w:start w:val="1"/>
      <w:numFmt w:val="decimal"/>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40C7D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207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6504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897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991D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3515880">
    <w:abstractNumId w:val="9"/>
  </w:num>
  <w:num w:numId="2" w16cid:durableId="561063363">
    <w:abstractNumId w:val="18"/>
  </w:num>
  <w:num w:numId="3" w16cid:durableId="1558012322">
    <w:abstractNumId w:val="0"/>
  </w:num>
  <w:num w:numId="4" w16cid:durableId="1140608213">
    <w:abstractNumId w:val="11"/>
  </w:num>
  <w:num w:numId="5" w16cid:durableId="1185091268">
    <w:abstractNumId w:val="24"/>
  </w:num>
  <w:num w:numId="6" w16cid:durableId="440028009">
    <w:abstractNumId w:val="12"/>
  </w:num>
  <w:num w:numId="7" w16cid:durableId="1208254315">
    <w:abstractNumId w:val="23"/>
  </w:num>
  <w:num w:numId="8" w16cid:durableId="1960605986">
    <w:abstractNumId w:val="4"/>
  </w:num>
  <w:num w:numId="9" w16cid:durableId="2047413692">
    <w:abstractNumId w:val="25"/>
  </w:num>
  <w:num w:numId="10" w16cid:durableId="245267989">
    <w:abstractNumId w:val="5"/>
  </w:num>
  <w:num w:numId="11" w16cid:durableId="1446928105">
    <w:abstractNumId w:val="19"/>
  </w:num>
  <w:num w:numId="12" w16cid:durableId="1530878076">
    <w:abstractNumId w:val="16"/>
  </w:num>
  <w:num w:numId="13" w16cid:durableId="1269774643">
    <w:abstractNumId w:val="10"/>
  </w:num>
  <w:num w:numId="14" w16cid:durableId="117266136">
    <w:abstractNumId w:val="21"/>
  </w:num>
  <w:num w:numId="15" w16cid:durableId="1901552207">
    <w:abstractNumId w:val="13"/>
  </w:num>
  <w:num w:numId="16" w16cid:durableId="915407782">
    <w:abstractNumId w:val="2"/>
  </w:num>
  <w:num w:numId="17" w16cid:durableId="798189062">
    <w:abstractNumId w:val="14"/>
  </w:num>
  <w:num w:numId="18" w16cid:durableId="1048727419">
    <w:abstractNumId w:val="8"/>
  </w:num>
  <w:num w:numId="19" w16cid:durableId="2040736108">
    <w:abstractNumId w:val="17"/>
  </w:num>
  <w:num w:numId="20" w16cid:durableId="1039933825">
    <w:abstractNumId w:val="7"/>
  </w:num>
  <w:num w:numId="21" w16cid:durableId="340661684">
    <w:abstractNumId w:val="1"/>
  </w:num>
  <w:num w:numId="22" w16cid:durableId="1309632501">
    <w:abstractNumId w:val="22"/>
  </w:num>
  <w:num w:numId="23" w16cid:durableId="1600412934">
    <w:abstractNumId w:val="15"/>
  </w:num>
  <w:num w:numId="24" w16cid:durableId="1802381163">
    <w:abstractNumId w:val="3"/>
  </w:num>
  <w:num w:numId="25" w16cid:durableId="1393428852">
    <w:abstractNumId w:val="6"/>
  </w:num>
  <w:num w:numId="26" w16cid:durableId="8001556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A5"/>
    <w:rsid w:val="000063AC"/>
    <w:rsid w:val="00040BDE"/>
    <w:rsid w:val="00064350"/>
    <w:rsid w:val="000817A4"/>
    <w:rsid w:val="000E2EB6"/>
    <w:rsid w:val="00131CB1"/>
    <w:rsid w:val="00151880"/>
    <w:rsid w:val="00157436"/>
    <w:rsid w:val="001958BF"/>
    <w:rsid w:val="001B04E9"/>
    <w:rsid w:val="001C536E"/>
    <w:rsid w:val="001D53B3"/>
    <w:rsid w:val="001E1093"/>
    <w:rsid w:val="001E3E50"/>
    <w:rsid w:val="001E663B"/>
    <w:rsid w:val="001F01EF"/>
    <w:rsid w:val="001F0A94"/>
    <w:rsid w:val="001F4EA4"/>
    <w:rsid w:val="00205D07"/>
    <w:rsid w:val="0020749A"/>
    <w:rsid w:val="00222464"/>
    <w:rsid w:val="00243247"/>
    <w:rsid w:val="002455A3"/>
    <w:rsid w:val="002626F4"/>
    <w:rsid w:val="002C579A"/>
    <w:rsid w:val="00332F6B"/>
    <w:rsid w:val="003B7F80"/>
    <w:rsid w:val="003C7F92"/>
    <w:rsid w:val="003D4866"/>
    <w:rsid w:val="003E0766"/>
    <w:rsid w:val="003F5086"/>
    <w:rsid w:val="004377AE"/>
    <w:rsid w:val="00437B80"/>
    <w:rsid w:val="004637E3"/>
    <w:rsid w:val="00470779"/>
    <w:rsid w:val="004811C9"/>
    <w:rsid w:val="00491EED"/>
    <w:rsid w:val="004A3A66"/>
    <w:rsid w:val="004C75EA"/>
    <w:rsid w:val="004F0AF8"/>
    <w:rsid w:val="004F415C"/>
    <w:rsid w:val="00500AB7"/>
    <w:rsid w:val="005233B9"/>
    <w:rsid w:val="0054586B"/>
    <w:rsid w:val="00560AEA"/>
    <w:rsid w:val="005B4ADD"/>
    <w:rsid w:val="00620C5E"/>
    <w:rsid w:val="006351F2"/>
    <w:rsid w:val="0065096A"/>
    <w:rsid w:val="0066643F"/>
    <w:rsid w:val="00671732"/>
    <w:rsid w:val="0067445C"/>
    <w:rsid w:val="00681A8E"/>
    <w:rsid w:val="0068524B"/>
    <w:rsid w:val="006B0549"/>
    <w:rsid w:val="006C2335"/>
    <w:rsid w:val="006C638E"/>
    <w:rsid w:val="006D0F1C"/>
    <w:rsid w:val="00741830"/>
    <w:rsid w:val="00753472"/>
    <w:rsid w:val="00763C4D"/>
    <w:rsid w:val="007758B9"/>
    <w:rsid w:val="007771F8"/>
    <w:rsid w:val="007A6FB8"/>
    <w:rsid w:val="007D2F98"/>
    <w:rsid w:val="007D45AA"/>
    <w:rsid w:val="007F34DD"/>
    <w:rsid w:val="0080028A"/>
    <w:rsid w:val="00801C45"/>
    <w:rsid w:val="00817D60"/>
    <w:rsid w:val="00826F6A"/>
    <w:rsid w:val="00856BC7"/>
    <w:rsid w:val="008728E8"/>
    <w:rsid w:val="00891110"/>
    <w:rsid w:val="008C76EE"/>
    <w:rsid w:val="00922157"/>
    <w:rsid w:val="009578D5"/>
    <w:rsid w:val="00992F1F"/>
    <w:rsid w:val="00996138"/>
    <w:rsid w:val="00996677"/>
    <w:rsid w:val="009B6D13"/>
    <w:rsid w:val="009D4C6D"/>
    <w:rsid w:val="00A03B07"/>
    <w:rsid w:val="00A053CE"/>
    <w:rsid w:val="00A11FA4"/>
    <w:rsid w:val="00A31557"/>
    <w:rsid w:val="00A46BA5"/>
    <w:rsid w:val="00A56B4D"/>
    <w:rsid w:val="00A81EB6"/>
    <w:rsid w:val="00AD2DDA"/>
    <w:rsid w:val="00AD4DF5"/>
    <w:rsid w:val="00B2066A"/>
    <w:rsid w:val="00B717CF"/>
    <w:rsid w:val="00B75312"/>
    <w:rsid w:val="00B81683"/>
    <w:rsid w:val="00B866FC"/>
    <w:rsid w:val="00B86C88"/>
    <w:rsid w:val="00B92883"/>
    <w:rsid w:val="00BC7048"/>
    <w:rsid w:val="00C434CB"/>
    <w:rsid w:val="00C44523"/>
    <w:rsid w:val="00C51738"/>
    <w:rsid w:val="00CE7D08"/>
    <w:rsid w:val="00CF58B6"/>
    <w:rsid w:val="00D17050"/>
    <w:rsid w:val="00D33FFE"/>
    <w:rsid w:val="00D64AC8"/>
    <w:rsid w:val="00D903FF"/>
    <w:rsid w:val="00DC49BC"/>
    <w:rsid w:val="00DD6570"/>
    <w:rsid w:val="00DE0652"/>
    <w:rsid w:val="00DE5B88"/>
    <w:rsid w:val="00E20382"/>
    <w:rsid w:val="00E74A7A"/>
    <w:rsid w:val="00E82019"/>
    <w:rsid w:val="00E97FF9"/>
    <w:rsid w:val="00EE7177"/>
    <w:rsid w:val="00F04AA3"/>
    <w:rsid w:val="00F25224"/>
    <w:rsid w:val="00F61ED8"/>
    <w:rsid w:val="00F658D2"/>
    <w:rsid w:val="00F87293"/>
    <w:rsid w:val="00FB59B3"/>
    <w:rsid w:val="00FB7399"/>
    <w:rsid w:val="00FD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26EFB"/>
  <w15:chartTrackingRefBased/>
  <w15:docId w15:val="{D9AEB636-42DC-4C56-B682-0BEFC466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A5"/>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A46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46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B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B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B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B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BA5"/>
    <w:rPr>
      <w:rFonts w:eastAsiaTheme="majorEastAsia" w:cstheme="majorBidi"/>
      <w:color w:val="272727" w:themeColor="text1" w:themeTint="D8"/>
    </w:rPr>
  </w:style>
  <w:style w:type="paragraph" w:styleId="Title">
    <w:name w:val="Title"/>
    <w:basedOn w:val="Normal"/>
    <w:next w:val="Normal"/>
    <w:link w:val="TitleChar"/>
    <w:uiPriority w:val="10"/>
    <w:qFormat/>
    <w:rsid w:val="00A46B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BA5"/>
    <w:pPr>
      <w:spacing w:before="160"/>
      <w:jc w:val="center"/>
    </w:pPr>
    <w:rPr>
      <w:i/>
      <w:iCs/>
      <w:color w:val="404040" w:themeColor="text1" w:themeTint="BF"/>
    </w:rPr>
  </w:style>
  <w:style w:type="character" w:customStyle="1" w:styleId="QuoteChar">
    <w:name w:val="Quote Char"/>
    <w:basedOn w:val="DefaultParagraphFont"/>
    <w:link w:val="Quote"/>
    <w:uiPriority w:val="29"/>
    <w:rsid w:val="00A46BA5"/>
    <w:rPr>
      <w:i/>
      <w:iCs/>
      <w:color w:val="404040" w:themeColor="text1" w:themeTint="BF"/>
    </w:rPr>
  </w:style>
  <w:style w:type="paragraph" w:styleId="ListParagraph">
    <w:name w:val="List Paragraph"/>
    <w:basedOn w:val="Normal"/>
    <w:uiPriority w:val="34"/>
    <w:qFormat/>
    <w:rsid w:val="00A46BA5"/>
    <w:pPr>
      <w:ind w:left="720"/>
      <w:contextualSpacing/>
    </w:pPr>
  </w:style>
  <w:style w:type="character" w:styleId="IntenseEmphasis">
    <w:name w:val="Intense Emphasis"/>
    <w:basedOn w:val="DefaultParagraphFont"/>
    <w:uiPriority w:val="21"/>
    <w:qFormat/>
    <w:rsid w:val="00A46BA5"/>
    <w:rPr>
      <w:i/>
      <w:iCs/>
      <w:color w:val="0F4761" w:themeColor="accent1" w:themeShade="BF"/>
    </w:rPr>
  </w:style>
  <w:style w:type="paragraph" w:styleId="IntenseQuote">
    <w:name w:val="Intense Quote"/>
    <w:basedOn w:val="Normal"/>
    <w:next w:val="Normal"/>
    <w:link w:val="IntenseQuoteChar"/>
    <w:uiPriority w:val="30"/>
    <w:qFormat/>
    <w:rsid w:val="00A46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BA5"/>
    <w:rPr>
      <w:i/>
      <w:iCs/>
      <w:color w:val="0F4761" w:themeColor="accent1" w:themeShade="BF"/>
    </w:rPr>
  </w:style>
  <w:style w:type="character" w:styleId="IntenseReference">
    <w:name w:val="Intense Reference"/>
    <w:basedOn w:val="DefaultParagraphFont"/>
    <w:uiPriority w:val="32"/>
    <w:qFormat/>
    <w:rsid w:val="00A46BA5"/>
    <w:rPr>
      <w:b/>
      <w:bCs/>
      <w:smallCaps/>
      <w:color w:val="0F4761" w:themeColor="accent1" w:themeShade="BF"/>
      <w:spacing w:val="5"/>
    </w:rPr>
  </w:style>
  <w:style w:type="paragraph" w:styleId="Header">
    <w:name w:val="header"/>
    <w:basedOn w:val="Normal"/>
    <w:link w:val="HeaderChar"/>
    <w:unhideWhenUsed/>
    <w:rsid w:val="00A46BA5"/>
    <w:pPr>
      <w:tabs>
        <w:tab w:val="center" w:pos="4680"/>
        <w:tab w:val="right" w:pos="9360"/>
      </w:tabs>
    </w:pPr>
  </w:style>
  <w:style w:type="character" w:customStyle="1" w:styleId="HeaderChar">
    <w:name w:val="Header Char"/>
    <w:basedOn w:val="DefaultParagraphFont"/>
    <w:link w:val="Header"/>
    <w:uiPriority w:val="99"/>
    <w:rsid w:val="00A46BA5"/>
  </w:style>
  <w:style w:type="paragraph" w:styleId="Footer">
    <w:name w:val="footer"/>
    <w:basedOn w:val="Normal"/>
    <w:link w:val="FooterChar"/>
    <w:uiPriority w:val="99"/>
    <w:unhideWhenUsed/>
    <w:rsid w:val="00A46BA5"/>
    <w:pPr>
      <w:tabs>
        <w:tab w:val="center" w:pos="4680"/>
        <w:tab w:val="right" w:pos="9360"/>
      </w:tabs>
    </w:pPr>
  </w:style>
  <w:style w:type="character" w:customStyle="1" w:styleId="FooterChar">
    <w:name w:val="Footer Char"/>
    <w:basedOn w:val="DefaultParagraphFont"/>
    <w:link w:val="Footer"/>
    <w:uiPriority w:val="99"/>
    <w:rsid w:val="00A46BA5"/>
  </w:style>
  <w:style w:type="paragraph" w:customStyle="1" w:styleId="Subheading">
    <w:name w:val="Subheading"/>
    <w:rsid w:val="00A46BA5"/>
    <w:pPr>
      <w:pBdr>
        <w:top w:val="single" w:sz="24" w:space="1" w:color="357CA2"/>
        <w:left w:val="nil"/>
        <w:bottom w:val="nil"/>
        <w:right w:val="nil"/>
        <w:between w:val="nil"/>
        <w:bar w:val="nil"/>
      </w:pBdr>
      <w:spacing w:after="0" w:line="288" w:lineRule="auto"/>
      <w:outlineLvl w:val="0"/>
    </w:pPr>
    <w:rPr>
      <w:rFonts w:ascii="Helvetica Neue" w:eastAsia="Arial Unicode MS" w:hAnsi="Helvetica Neue" w:cs="Arial Unicode MS"/>
      <w:b/>
      <w:bCs/>
      <w:caps/>
      <w:color w:val="367DA2"/>
      <w:spacing w:val="4"/>
      <w:kern w:val="0"/>
      <w:sz w:val="22"/>
      <w:szCs w:val="22"/>
      <w:bdr w:val="nil"/>
      <w14:ligatures w14:val="none"/>
    </w:rPr>
  </w:style>
  <w:style w:type="paragraph" w:styleId="BodyText">
    <w:name w:val="Body Text"/>
    <w:basedOn w:val="Normal"/>
    <w:link w:val="BodyTextChar"/>
    <w:semiHidden/>
    <w:rsid w:val="00A46BA5"/>
    <w:rPr>
      <w:rFonts w:ascii="Arial" w:hAnsi="Arial"/>
      <w:sz w:val="24"/>
    </w:rPr>
  </w:style>
  <w:style w:type="character" w:customStyle="1" w:styleId="BodyTextChar">
    <w:name w:val="Body Text Char"/>
    <w:basedOn w:val="DefaultParagraphFont"/>
    <w:link w:val="BodyText"/>
    <w:rsid w:val="00A46BA5"/>
    <w:rPr>
      <w:rFonts w:ascii="Arial" w:eastAsia="Times New Roman" w:hAnsi="Arial" w:cs="Times New Roman"/>
      <w:kern w:val="0"/>
      <w:szCs w:val="20"/>
      <w:lang w:val="en-GB"/>
      <w14:ligatures w14:val="none"/>
    </w:rPr>
  </w:style>
  <w:style w:type="paragraph" w:customStyle="1" w:styleId="ReviewTable">
    <w:name w:val="Review Table"/>
    <w:next w:val="Normal"/>
    <w:rsid w:val="00A46BA5"/>
    <w:pPr>
      <w:spacing w:after="0" w:line="240" w:lineRule="auto"/>
      <w:jc w:val="center"/>
    </w:pPr>
    <w:rPr>
      <w:rFonts w:ascii="Book Antiqua" w:eastAsia="Times New Roman" w:hAnsi="Book Antiqua" w:cs="Times New Roman"/>
      <w:b/>
      <w:kern w:val="0"/>
      <w:sz w:val="18"/>
      <w:szCs w:val="20"/>
      <w:lang w:val="en-GB"/>
      <w14:ligatures w14:val="none"/>
    </w:rPr>
  </w:style>
  <w:style w:type="paragraph" w:styleId="BodyText3">
    <w:name w:val="Body Text 3"/>
    <w:basedOn w:val="Normal"/>
    <w:link w:val="BodyText3Char"/>
    <w:semiHidden/>
    <w:rsid w:val="00A46BA5"/>
    <w:pPr>
      <w:jc w:val="center"/>
    </w:pPr>
    <w:rPr>
      <w:rFonts w:ascii="Arial" w:hAnsi="Arial" w:cs="Arial"/>
      <w:b/>
      <w:bCs/>
      <w:sz w:val="24"/>
    </w:rPr>
  </w:style>
  <w:style w:type="character" w:customStyle="1" w:styleId="BodyText3Char">
    <w:name w:val="Body Text 3 Char"/>
    <w:basedOn w:val="DefaultParagraphFont"/>
    <w:link w:val="BodyText3"/>
    <w:semiHidden/>
    <w:rsid w:val="00A46BA5"/>
    <w:rPr>
      <w:rFonts w:ascii="Arial" w:eastAsia="Times New Roman" w:hAnsi="Arial" w:cs="Arial"/>
      <w:b/>
      <w:bCs/>
      <w:kern w:val="0"/>
      <w:szCs w:val="20"/>
      <w:lang w:val="en-GB"/>
      <w14:ligatures w14:val="none"/>
    </w:rPr>
  </w:style>
  <w:style w:type="paragraph" w:customStyle="1" w:styleId="bullet">
    <w:name w:val="bullet"/>
    <w:basedOn w:val="Normal"/>
    <w:rsid w:val="00A46BA5"/>
    <w:pPr>
      <w:widowControl w:val="0"/>
      <w:spacing w:after="240"/>
      <w:ind w:left="851" w:hanging="283"/>
      <w:jc w:val="both"/>
    </w:pPr>
    <w:rPr>
      <w:color w:val="000000"/>
      <w:sz w:val="24"/>
    </w:rPr>
  </w:style>
  <w:style w:type="paragraph" w:customStyle="1" w:styleId="Heading3green">
    <w:name w:val="Heading 3 green"/>
    <w:basedOn w:val="Heading3"/>
    <w:rsid w:val="00A46BA5"/>
    <w:pPr>
      <w:keepLines w:val="0"/>
      <w:widowControl w:val="0"/>
      <w:spacing w:before="120" w:after="120"/>
      <w:ind w:left="567"/>
      <w:jc w:val="both"/>
      <w:outlineLvl w:val="9"/>
    </w:pPr>
    <w:rPr>
      <w:rFonts w:ascii="Arial" w:eastAsia="Times New Roman" w:hAnsi="Arial" w:cs="Times New Roman"/>
      <w:b/>
      <w:color w:val="00FF00"/>
      <w:sz w:val="24"/>
      <w:szCs w:val="20"/>
    </w:rPr>
  </w:style>
  <w:style w:type="paragraph" w:customStyle="1" w:styleId="DefaultText">
    <w:name w:val="Default Text"/>
    <w:basedOn w:val="Normal"/>
    <w:rsid w:val="00F04AA3"/>
    <w:pPr>
      <w:spacing w:line="240" w:lineRule="atLeast"/>
    </w:pPr>
    <w:rPr>
      <w:rFonts w:ascii="Courier New" w:hAnsi="Courier New"/>
      <w:sz w:val="24"/>
      <w:lang w:val="en-US"/>
    </w:rPr>
  </w:style>
  <w:style w:type="paragraph" w:styleId="TOCHeading">
    <w:name w:val="TOC Heading"/>
    <w:basedOn w:val="Heading1"/>
    <w:next w:val="Normal"/>
    <w:uiPriority w:val="39"/>
    <w:unhideWhenUsed/>
    <w:qFormat/>
    <w:rsid w:val="0065096A"/>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65096A"/>
    <w:pPr>
      <w:spacing w:after="100"/>
      <w:ind w:left="200"/>
    </w:pPr>
  </w:style>
  <w:style w:type="character" w:styleId="Hyperlink">
    <w:name w:val="Hyperlink"/>
    <w:basedOn w:val="DefaultParagraphFont"/>
    <w:uiPriority w:val="99"/>
    <w:unhideWhenUsed/>
    <w:rsid w:val="0065096A"/>
    <w:rPr>
      <w:color w:val="467886" w:themeColor="hyperlink"/>
      <w:u w:val="single"/>
    </w:rPr>
  </w:style>
  <w:style w:type="character" w:styleId="UnresolvedMention">
    <w:name w:val="Unresolved Mention"/>
    <w:basedOn w:val="DefaultParagraphFont"/>
    <w:uiPriority w:val="99"/>
    <w:semiHidden/>
    <w:unhideWhenUsed/>
    <w:rsid w:val="0065096A"/>
    <w:rPr>
      <w:color w:val="605E5C"/>
      <w:shd w:val="clear" w:color="auto" w:fill="E1DFDD"/>
    </w:rPr>
  </w:style>
  <w:style w:type="character" w:styleId="FollowedHyperlink">
    <w:name w:val="FollowedHyperlink"/>
    <w:basedOn w:val="DefaultParagraphFont"/>
    <w:uiPriority w:val="99"/>
    <w:semiHidden/>
    <w:unhideWhenUsed/>
    <w:rsid w:val="0065096A"/>
    <w:rPr>
      <w:color w:val="96607D" w:themeColor="followedHyperlink"/>
      <w:u w:val="single"/>
    </w:rPr>
  </w:style>
  <w:style w:type="paragraph" w:styleId="TOC1">
    <w:name w:val="toc 1"/>
    <w:basedOn w:val="Normal"/>
    <w:next w:val="Normal"/>
    <w:autoRedefine/>
    <w:uiPriority w:val="39"/>
    <w:semiHidden/>
    <w:unhideWhenUsed/>
    <w:rsid w:val="00D64AC8"/>
    <w:pPr>
      <w:spacing w:after="100"/>
    </w:pPr>
  </w:style>
  <w:style w:type="paragraph" w:styleId="BodyText2">
    <w:name w:val="Body Text 2"/>
    <w:basedOn w:val="Normal"/>
    <w:link w:val="BodyText2Char"/>
    <w:uiPriority w:val="99"/>
    <w:semiHidden/>
    <w:unhideWhenUsed/>
    <w:rsid w:val="00E97FF9"/>
    <w:pPr>
      <w:spacing w:after="120" w:line="480" w:lineRule="auto"/>
    </w:pPr>
  </w:style>
  <w:style w:type="character" w:customStyle="1" w:styleId="BodyText2Char">
    <w:name w:val="Body Text 2 Char"/>
    <w:basedOn w:val="DefaultParagraphFont"/>
    <w:link w:val="BodyText2"/>
    <w:uiPriority w:val="99"/>
    <w:rsid w:val="00E97FF9"/>
    <w:rPr>
      <w:rFonts w:ascii="Times New Roman" w:eastAsia="Times New Roman" w:hAnsi="Times New Roman" w:cs="Times New Roman"/>
      <w:kern w:val="0"/>
      <w:sz w:val="20"/>
      <w:szCs w:val="20"/>
      <w:lang w:val="en-GB"/>
      <w14:ligatures w14:val="none"/>
    </w:rPr>
  </w:style>
  <w:style w:type="paragraph" w:customStyle="1" w:styleId="WGKTableTextCentred">
    <w:name w:val="WGK Table Text Centred"/>
    <w:basedOn w:val="Normal"/>
    <w:link w:val="WGKTableTextCentredChar"/>
    <w:uiPriority w:val="38"/>
    <w:semiHidden/>
    <w:qFormat/>
    <w:rsid w:val="00E97FF9"/>
    <w:pPr>
      <w:widowControl w:val="0"/>
      <w:spacing w:before="60" w:after="60" w:line="300" w:lineRule="auto"/>
      <w:ind w:left="57" w:right="57"/>
      <w:jc w:val="center"/>
    </w:pPr>
    <w:rPr>
      <w:rFonts w:ascii="Arial" w:hAnsi="Arial"/>
      <w:color w:val="000000"/>
      <w:sz w:val="18"/>
    </w:rPr>
  </w:style>
  <w:style w:type="character" w:customStyle="1" w:styleId="WGKTableTextCentredChar">
    <w:name w:val="WGK Table Text Centred Char"/>
    <w:link w:val="WGKTableTextCentred"/>
    <w:uiPriority w:val="38"/>
    <w:semiHidden/>
    <w:rsid w:val="00E97FF9"/>
    <w:rPr>
      <w:rFonts w:ascii="Arial" w:eastAsia="Times New Roman" w:hAnsi="Arial" w:cs="Times New Roman"/>
      <w:color w:val="000000"/>
      <w:kern w:val="0"/>
      <w:sz w:val="18"/>
      <w:szCs w:val="20"/>
      <w:lang w:val="en-GB"/>
      <w14:ligatures w14:val="none"/>
    </w:rPr>
  </w:style>
  <w:style w:type="paragraph" w:customStyle="1" w:styleId="WGKCoverPage2TableHeadingGreyLeftAlign">
    <w:name w:val="WGK Cover Page 2 Table Heading (Grey) Left Align"/>
    <w:basedOn w:val="Normal"/>
    <w:uiPriority w:val="38"/>
    <w:semiHidden/>
    <w:rsid w:val="00E97FF9"/>
    <w:pPr>
      <w:widowControl w:val="0"/>
      <w:autoSpaceDE w:val="0"/>
      <w:autoSpaceDN w:val="0"/>
      <w:adjustRightInd w:val="0"/>
      <w:spacing w:before="60" w:after="60" w:line="260" w:lineRule="atLeast"/>
      <w:ind w:left="57" w:right="57"/>
    </w:pPr>
    <w:rPr>
      <w:rFonts w:ascii="Arial" w:eastAsiaTheme="minorHAnsi" w:hAnsi="Arial" w:cstheme="majorHAnsi"/>
      <w:color w:val="646464"/>
      <w:sz w:val="22"/>
      <w:szCs w:val="22"/>
    </w:rPr>
  </w:style>
  <w:style w:type="paragraph" w:customStyle="1" w:styleId="WGTableText">
    <w:name w:val="WG Table Text"/>
    <w:basedOn w:val="WGKTableTextCentred"/>
    <w:uiPriority w:val="14"/>
    <w:qFormat/>
    <w:rsid w:val="00E97FF9"/>
    <w:pPr>
      <w:spacing w:before="120" w:after="120"/>
      <w:ind w:left="0" w:right="0"/>
    </w:pPr>
    <w:rPr>
      <w:color w:val="233845"/>
    </w:rPr>
  </w:style>
  <w:style w:type="table" w:customStyle="1" w:styleId="WGTable1">
    <w:name w:val="WG Table 1"/>
    <w:basedOn w:val="TableNormal"/>
    <w:uiPriority w:val="99"/>
    <w:rsid w:val="00E97FF9"/>
    <w:pPr>
      <w:spacing w:after="0" w:line="240" w:lineRule="auto"/>
      <w:jc w:val="center"/>
    </w:pPr>
    <w:rPr>
      <w:kern w:val="0"/>
      <w:sz w:val="18"/>
      <w:lang w:val="en-GB"/>
      <w14:ligatures w14:val="none"/>
    </w:rPr>
    <w:tblPr>
      <w:tblStyleRowBandSize w:val="1"/>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vAlign w:val="center"/>
    </w:tcPr>
    <w:tblStylePr w:type="firstRow">
      <w:pPr>
        <w:jc w:val="center"/>
      </w:pPr>
      <w:rPr>
        <w:rFonts w:asciiTheme="minorHAnsi" w:hAnsiTheme="minorHAnsi"/>
        <w:b/>
        <w:sz w:val="18"/>
      </w:rPr>
      <w:tblPr/>
      <w:tcPr>
        <w:shd w:val="clear" w:color="auto" w:fill="BFC2C8"/>
      </w:tcPr>
    </w:tblStylePr>
    <w:tblStylePr w:type="band1Horz">
      <w:pPr>
        <w:jc w:val="center"/>
      </w:pPr>
      <w:rPr>
        <w:rFonts w:asciiTheme="minorHAnsi" w:hAnsiTheme="minorHAnsi"/>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tcPr>
    </w:tblStylePr>
    <w:tblStylePr w:type="band2Horz">
      <w:pPr>
        <w:jc w:val="center"/>
      </w:pPr>
      <w:rPr>
        <w:rFonts w:asciiTheme="minorHAnsi" w:hAnsiTheme="minorHAnsi"/>
        <w:sz w:val="18"/>
      </w:rPr>
      <w:tblPr/>
      <w:tcPr>
        <w:shd w:val="clear" w:color="auto" w:fill="BFC2C8"/>
      </w:tcPr>
    </w:tblStylePr>
  </w:style>
  <w:style w:type="paragraph" w:customStyle="1" w:styleId="StyleWGKCoverPage2QATableHeadingGreyCentredBoldAuto1">
    <w:name w:val="Style WGK Cover Page 2 QA Table Heading (Grey) Centred + Bold Auto...1"/>
    <w:basedOn w:val="Normal"/>
    <w:semiHidden/>
    <w:rsid w:val="00E97FF9"/>
    <w:pPr>
      <w:widowControl w:val="0"/>
      <w:autoSpaceDE w:val="0"/>
      <w:autoSpaceDN w:val="0"/>
      <w:adjustRightInd w:val="0"/>
      <w:spacing w:before="120" w:after="120" w:line="260" w:lineRule="atLeast"/>
      <w:jc w:val="center"/>
    </w:pPr>
    <w:rPr>
      <w:rFonts w:ascii="Arial" w:hAnsi="Arial"/>
      <w:b/>
      <w:bCs/>
      <w:color w:val="233845"/>
      <w:sz w:val="18"/>
    </w:rPr>
  </w:style>
  <w:style w:type="character" w:styleId="PlaceholderText">
    <w:name w:val="Placeholder Text"/>
    <w:basedOn w:val="DefaultParagraphFont"/>
    <w:semiHidden/>
    <w:rsid w:val="00E97FF9"/>
    <w:rPr>
      <w:color w:val="80808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939FC411E45029934CA0FDBB6F746"/>
        <w:category>
          <w:name w:val="General"/>
          <w:gallery w:val="placeholder"/>
        </w:category>
        <w:types>
          <w:type w:val="bbPlcHdr"/>
        </w:types>
        <w:behaviors>
          <w:behavior w:val="content"/>
        </w:behaviors>
        <w:guid w:val="{811B749F-05DF-49BE-8D58-475267451CB9}"/>
      </w:docPartPr>
      <w:docPartBody>
        <w:p w:rsidR="005F74E3" w:rsidRDefault="005A0B3E" w:rsidP="005A0B3E">
          <w:pPr>
            <w:pStyle w:val="AF7939FC411E45029934CA0FDBB6F746"/>
          </w:pPr>
          <w:r w:rsidRPr="00F16436">
            <w:rPr>
              <w:rStyle w:val="PlaceholderText"/>
            </w:rPr>
            <w:t>[Title]</w:t>
          </w:r>
        </w:p>
      </w:docPartBody>
    </w:docPart>
    <w:docPart>
      <w:docPartPr>
        <w:name w:val="F5E820353CAF427DB961C76E3D761C8A"/>
        <w:category>
          <w:name w:val="General"/>
          <w:gallery w:val="placeholder"/>
        </w:category>
        <w:types>
          <w:type w:val="bbPlcHdr"/>
        </w:types>
        <w:behaviors>
          <w:behavior w:val="content"/>
        </w:behaviors>
        <w:guid w:val="{B8CB2498-2AEA-4112-B85B-CA2DFC7B5EAA}"/>
      </w:docPartPr>
      <w:docPartBody>
        <w:p w:rsidR="005F74E3" w:rsidRDefault="005A0B3E" w:rsidP="005A0B3E">
          <w:pPr>
            <w:pStyle w:val="F5E820353CAF427DB961C76E3D761C8A"/>
          </w:pPr>
          <w:r w:rsidRPr="00F16436">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3E"/>
    <w:rsid w:val="00087B5D"/>
    <w:rsid w:val="000D3563"/>
    <w:rsid w:val="000E1366"/>
    <w:rsid w:val="00142619"/>
    <w:rsid w:val="001A6DB5"/>
    <w:rsid w:val="002626F4"/>
    <w:rsid w:val="003344BA"/>
    <w:rsid w:val="003C7F92"/>
    <w:rsid w:val="003E0766"/>
    <w:rsid w:val="00491EED"/>
    <w:rsid w:val="005A0B3E"/>
    <w:rsid w:val="005F74E3"/>
    <w:rsid w:val="006C2335"/>
    <w:rsid w:val="00711EEE"/>
    <w:rsid w:val="007644A4"/>
    <w:rsid w:val="007A343F"/>
    <w:rsid w:val="007D45AA"/>
    <w:rsid w:val="00943B0C"/>
    <w:rsid w:val="009D5963"/>
    <w:rsid w:val="00A03B07"/>
    <w:rsid w:val="00AD4DF5"/>
    <w:rsid w:val="00B72839"/>
    <w:rsid w:val="00B86C88"/>
    <w:rsid w:val="00B92883"/>
    <w:rsid w:val="00CE7D08"/>
    <w:rsid w:val="00DF1669"/>
    <w:rsid w:val="00E84473"/>
    <w:rsid w:val="00F25224"/>
    <w:rsid w:val="00FD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A6DB5"/>
    <w:rPr>
      <w:color w:val="808080"/>
      <w:lang w:val="en-IE"/>
    </w:rPr>
  </w:style>
  <w:style w:type="paragraph" w:customStyle="1" w:styleId="AF7939FC411E45029934CA0FDBB6F746">
    <w:name w:val="AF7939FC411E45029934CA0FDBB6F746"/>
    <w:rsid w:val="005A0B3E"/>
  </w:style>
  <w:style w:type="paragraph" w:customStyle="1" w:styleId="F5E820353CAF427DB961C76E3D761C8A">
    <w:name w:val="F5E820353CAF427DB961C76E3D761C8A"/>
    <w:rsid w:val="005A0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D328-1E9C-4D14-837D-CA527D2B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Contracting Strategy Procedure</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Strategy Procedure</dc:title>
  <dc:subject/>
  <dc:creator>Nick Evans</dc:creator>
  <cp:keywords/>
  <dc:description/>
  <cp:lastModifiedBy>Nick Evans</cp:lastModifiedBy>
  <cp:revision>96</cp:revision>
  <cp:lastPrinted>2026-01-22T19:16:00Z</cp:lastPrinted>
  <dcterms:created xsi:type="dcterms:W3CDTF">2025-04-11T15:16:00Z</dcterms:created>
  <dcterms:modified xsi:type="dcterms:W3CDTF">2026-06-09T00:47:00Z</dcterms:modified>
  <cp:contentStatus>NJE_CSP_2026</cp:contentStatus>
</cp:coreProperties>
</file>